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bookmarkStart w:id="5" w:name="_GoBack"/>
      <w:bookmarkEnd w:id="5"/>
    </w:p>
    <w:p>
      <w:pPr>
        <w:rPr>
          <w:sz w:val="48"/>
        </w:rPr>
      </w:pPr>
    </w:p>
    <w:p>
      <w:pPr>
        <w:jc w:val="center"/>
        <w:rPr>
          <w:rFonts w:ascii="宋体" w:hAnsi="宋体"/>
          <w:b/>
          <w:bCs/>
          <w:sz w:val="48"/>
          <w:szCs w:val="30"/>
        </w:rPr>
      </w:pPr>
      <w:r>
        <w:rPr>
          <w:rFonts w:ascii="宋体" w:hAnsi="宋体"/>
          <w:b/>
          <w:bCs/>
          <w:sz w:val="48"/>
          <w:szCs w:val="30"/>
        </w:rPr>
        <w:t>四川银行定开系列6个月11号净值型理财产品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四川银行定开系列6个月11号净值型理财产品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227,148,200.00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四川银行-四川银行定开系列6个月11号净值型理财产品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11.92</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1,213,644.25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1,288,511.69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228,940,794.00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228,940,794.00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1.1192</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187,509,946.06</w:t>
            </w:r>
          </w:p>
        </w:tc>
        <w:tc>
          <w:tcPr>
            <w:tcW w:w="1749" w:type="dxa"/>
            <w:shd w:val="clear" w:color="auto" w:fill="auto"/>
            <w:vAlign w:val="center"/>
          </w:tcPr>
          <w:p>
            <w:pPr>
              <w:jc w:val="right"/>
            </w:pPr>
            <w:r>
              <w:t>77.88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187,509,946.06</w:t>
            </w:r>
          </w:p>
        </w:tc>
        <w:tc>
          <w:tcPr>
            <w:tcW w:w="1749" w:type="dxa"/>
            <w:shd w:val="clear" w:color="auto" w:fill="auto"/>
            <w:vAlign w:val="center"/>
          </w:tcPr>
          <w:p>
            <w:pPr>
              <w:jc w:val="right"/>
            </w:pPr>
            <w:r>
              <w:t>77.88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45,002,753.68</w:t>
            </w:r>
          </w:p>
        </w:tc>
        <w:tc>
          <w:tcPr>
            <w:tcW w:w="1749" w:type="dxa"/>
            <w:shd w:val="clear" w:color="auto" w:fill="auto"/>
            <w:vAlign w:val="center"/>
          </w:tcPr>
          <w:p>
            <w:pPr>
              <w:jc w:val="right"/>
            </w:pPr>
            <w:r>
              <w:t>18.69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907,777.36</w:t>
            </w:r>
          </w:p>
        </w:tc>
        <w:tc>
          <w:tcPr>
            <w:tcW w:w="1749" w:type="dxa"/>
            <w:shd w:val="clear" w:color="auto" w:fill="auto"/>
            <w:vAlign w:val="center"/>
          </w:tcPr>
          <w:p>
            <w:pPr>
              <w:jc w:val="right"/>
            </w:pPr>
            <w:r>
              <w:t>0.38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7,346,923.67</w:t>
            </w:r>
          </w:p>
        </w:tc>
        <w:tc>
          <w:tcPr>
            <w:tcW w:w="1749" w:type="dxa"/>
            <w:shd w:val="clear" w:color="auto" w:fill="auto"/>
            <w:vAlign w:val="center"/>
          </w:tcPr>
          <w:p>
            <w:pPr>
              <w:jc w:val="right"/>
            </w:pPr>
            <w:r>
              <w:t>3.05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240,767,400.77</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45,002,753.68</w:t>
            </w:r>
          </w:p>
        </w:tc>
        <w:tc>
          <w:tcPr>
            <w:tcW w:w="2431" w:type="dxa"/>
            <w:shd w:val="clear" w:color="auto" w:fill="auto"/>
            <w:vAlign w:val="center"/>
          </w:tcPr>
          <w:p>
            <w:pPr>
              <w:jc w:val="right"/>
            </w:pPr>
            <w:bookmarkStart w:id="3" w:name="OLE_LINK5"/>
            <w:bookmarkEnd w:id="3"/>
            <w:bookmarkStart w:id="4" w:name="OLE_LINK6"/>
            <w:bookmarkEnd w:id="4"/>
            <w:r>
              <w:rPr>
                <w:rFonts w:hint="eastAsia"/>
              </w:rPr>
              <w:t>19.66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24龙驰01</w:t>
            </w:r>
          </w:p>
        </w:tc>
        <w:tc>
          <w:tcPr>
            <w:tcW w:w="2693" w:type="dxa"/>
            <w:shd w:val="clear" w:color="auto" w:fill="auto"/>
            <w:vAlign w:val="center"/>
          </w:tcPr>
          <w:p>
            <w:pPr>
              <w:ind w:hanging="1"/>
              <w:jc w:val="right"/>
            </w:pPr>
            <w:r>
              <w:rPr>
                <w:b w:val="0"/>
                <w:i w:val="0"/>
                <w:strike w:val="0"/>
                <w:u w:val="none"/>
              </w:rPr>
              <w:t>10,620,863.01</w:t>
            </w:r>
          </w:p>
        </w:tc>
        <w:tc>
          <w:tcPr>
            <w:tcW w:w="2431" w:type="dxa"/>
            <w:shd w:val="clear" w:color="auto" w:fill="auto"/>
            <w:vAlign w:val="center"/>
          </w:tcPr>
          <w:p>
            <w:pPr>
              <w:ind w:hanging="1"/>
              <w:jc w:val="right"/>
            </w:pPr>
            <w:r>
              <w:rPr>
                <w:rFonts w:hint="eastAsia"/>
                <w:b w:val="0"/>
                <w:i w:val="0"/>
                <w:strike w:val="0"/>
                <w:u w:val="none"/>
              </w:rPr>
              <w:t>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24眉控02</w:t>
            </w:r>
          </w:p>
        </w:tc>
        <w:tc>
          <w:tcPr>
            <w:tcW w:w="2693" w:type="dxa"/>
            <w:shd w:val="clear" w:color="auto" w:fill="auto"/>
            <w:vAlign w:val="center"/>
          </w:tcPr>
          <w:p>
            <w:pPr>
              <w:ind w:hanging="1"/>
              <w:jc w:val="right"/>
            </w:pPr>
            <w:r>
              <w:rPr>
                <w:b w:val="0"/>
                <w:i w:val="0"/>
                <w:strike w:val="0"/>
                <w:u w:val="none"/>
              </w:rPr>
              <w:t>10,435,684.93</w:t>
            </w:r>
          </w:p>
        </w:tc>
        <w:tc>
          <w:tcPr>
            <w:tcW w:w="2431" w:type="dxa"/>
            <w:shd w:val="clear" w:color="auto" w:fill="auto"/>
            <w:vAlign w:val="center"/>
          </w:tcPr>
          <w:p>
            <w:pPr>
              <w:ind w:hanging="1"/>
              <w:jc w:val="right"/>
            </w:pPr>
            <w:r>
              <w:rPr>
                <w:rFonts w:hint="eastAsia"/>
                <w:b w:val="0"/>
                <w:i w:val="0"/>
                <w:strike w:val="0"/>
                <w:u w:val="none"/>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24新津城乡MTN001A</w:t>
            </w:r>
          </w:p>
        </w:tc>
        <w:tc>
          <w:tcPr>
            <w:tcW w:w="2693" w:type="dxa"/>
            <w:shd w:val="clear" w:color="auto" w:fill="auto"/>
            <w:vAlign w:val="center"/>
          </w:tcPr>
          <w:p>
            <w:pPr>
              <w:ind w:hanging="1"/>
              <w:jc w:val="right"/>
            </w:pPr>
            <w:r>
              <w:rPr>
                <w:b w:val="0"/>
                <w:i w:val="0"/>
                <w:strike w:val="0"/>
                <w:u w:val="none"/>
              </w:rPr>
              <w:t>10,397,169.86</w:t>
            </w:r>
          </w:p>
        </w:tc>
        <w:tc>
          <w:tcPr>
            <w:tcW w:w="2431" w:type="dxa"/>
            <w:shd w:val="clear" w:color="auto" w:fill="auto"/>
            <w:vAlign w:val="center"/>
          </w:tcPr>
          <w:p>
            <w:pPr>
              <w:ind w:hanging="1"/>
              <w:jc w:val="right"/>
            </w:pPr>
            <w:r>
              <w:rPr>
                <w:rFonts w:hint="eastAsia"/>
                <w:b w:val="0"/>
                <w:i w:val="0"/>
                <w:strike w:val="0"/>
                <w:u w:val="none"/>
              </w:rPr>
              <w:t>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24绵阳投资MTN001A</w:t>
            </w:r>
          </w:p>
        </w:tc>
        <w:tc>
          <w:tcPr>
            <w:tcW w:w="2693" w:type="dxa"/>
            <w:shd w:val="clear" w:color="auto" w:fill="auto"/>
            <w:vAlign w:val="center"/>
          </w:tcPr>
          <w:p>
            <w:pPr>
              <w:ind w:hanging="1"/>
              <w:jc w:val="right"/>
            </w:pPr>
            <w:r>
              <w:rPr>
                <w:b w:val="0"/>
                <w:i w:val="0"/>
                <w:strike w:val="0"/>
                <w:u w:val="none"/>
              </w:rPr>
              <w:t>10,331,912.33</w:t>
            </w:r>
          </w:p>
        </w:tc>
        <w:tc>
          <w:tcPr>
            <w:tcW w:w="2431" w:type="dxa"/>
            <w:shd w:val="clear" w:color="auto" w:fill="auto"/>
            <w:vAlign w:val="center"/>
          </w:tcPr>
          <w:p>
            <w:pPr>
              <w:ind w:hanging="1"/>
              <w:jc w:val="right"/>
            </w:pPr>
            <w:r>
              <w:rPr>
                <w:rFonts w:hint="eastAsia"/>
                <w:b w:val="0"/>
                <w:i w:val="0"/>
                <w:strike w:val="0"/>
                <w:u w:val="none"/>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10,172,219.18</w:t>
            </w:r>
          </w:p>
        </w:tc>
        <w:tc>
          <w:tcPr>
            <w:tcW w:w="2431" w:type="dxa"/>
            <w:shd w:val="clear" w:color="auto" w:fill="auto"/>
            <w:vAlign w:val="center"/>
          </w:tcPr>
          <w:p>
            <w:pPr>
              <w:ind w:hanging="1"/>
              <w:jc w:val="right"/>
            </w:pPr>
            <w:r>
              <w:rPr>
                <w:rFonts w:hint="eastAsia"/>
                <w:b w:val="0"/>
                <w:i w:val="0"/>
                <w:strike w:val="0"/>
                <w:u w:val="none"/>
              </w:rPr>
              <w:t>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25秦农农商银行CD008</w:t>
            </w:r>
          </w:p>
        </w:tc>
        <w:tc>
          <w:tcPr>
            <w:tcW w:w="2693" w:type="dxa"/>
            <w:shd w:val="clear" w:color="auto" w:fill="auto"/>
            <w:vAlign w:val="center"/>
          </w:tcPr>
          <w:p>
            <w:pPr>
              <w:ind w:hanging="1"/>
              <w:jc w:val="right"/>
            </w:pPr>
            <w:r>
              <w:rPr>
                <w:b w:val="0"/>
                <w:i w:val="0"/>
                <w:strike w:val="0"/>
                <w:u w:val="none"/>
              </w:rPr>
              <w:t>9,996,496.22</w:t>
            </w:r>
          </w:p>
        </w:tc>
        <w:tc>
          <w:tcPr>
            <w:tcW w:w="2431" w:type="dxa"/>
            <w:shd w:val="clear" w:color="auto" w:fill="auto"/>
            <w:vAlign w:val="center"/>
          </w:tcPr>
          <w:p>
            <w:pPr>
              <w:ind w:hanging="1"/>
              <w:jc w:val="right"/>
            </w:pPr>
            <w:r>
              <w:rPr>
                <w:rFonts w:hint="eastAsia"/>
                <w:b w:val="0"/>
                <w:i w:val="0"/>
                <w:strike w:val="0"/>
                <w:u w:val="none"/>
              </w:rPr>
              <w:t>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25自贡高新MTN001</w:t>
            </w:r>
          </w:p>
        </w:tc>
        <w:tc>
          <w:tcPr>
            <w:tcW w:w="2693" w:type="dxa"/>
            <w:shd w:val="clear" w:color="auto" w:fill="auto"/>
            <w:vAlign w:val="center"/>
          </w:tcPr>
          <w:p>
            <w:pPr>
              <w:ind w:hanging="1"/>
              <w:jc w:val="right"/>
            </w:pPr>
            <w:r>
              <w:rPr>
                <w:b w:val="0"/>
                <w:i w:val="0"/>
                <w:strike w:val="0"/>
                <w:u w:val="none"/>
              </w:rPr>
              <w:t>9,956,219.18</w:t>
            </w:r>
          </w:p>
        </w:tc>
        <w:tc>
          <w:tcPr>
            <w:tcW w:w="2431" w:type="dxa"/>
            <w:shd w:val="clear" w:color="auto" w:fill="auto"/>
            <w:vAlign w:val="center"/>
          </w:tcPr>
          <w:p>
            <w:pPr>
              <w:ind w:hanging="1"/>
              <w:jc w:val="right"/>
            </w:pPr>
            <w:r>
              <w:rPr>
                <w:rFonts w:hint="eastAsia"/>
                <w:b w:val="0"/>
                <w:i w:val="0"/>
                <w:strike w:val="0"/>
                <w:u w:val="none"/>
              </w:rPr>
              <w:t>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25昆仑银行CD054</w:t>
            </w:r>
          </w:p>
        </w:tc>
        <w:tc>
          <w:tcPr>
            <w:tcW w:w="2693" w:type="dxa"/>
            <w:shd w:val="clear" w:color="auto" w:fill="auto"/>
            <w:vAlign w:val="center"/>
          </w:tcPr>
          <w:p>
            <w:pPr>
              <w:ind w:hanging="1"/>
              <w:jc w:val="right"/>
            </w:pPr>
            <w:r>
              <w:rPr>
                <w:b w:val="0"/>
                <w:i w:val="0"/>
                <w:strike w:val="0"/>
                <w:u w:val="none"/>
              </w:rPr>
              <w:t>9,928,344.62</w:t>
            </w:r>
          </w:p>
        </w:tc>
        <w:tc>
          <w:tcPr>
            <w:tcW w:w="2431" w:type="dxa"/>
            <w:shd w:val="clear" w:color="auto" w:fill="auto"/>
            <w:vAlign w:val="center"/>
          </w:tcPr>
          <w:p>
            <w:pPr>
              <w:ind w:hanging="1"/>
              <w:jc w:val="right"/>
            </w:pPr>
            <w:r>
              <w:rPr>
                <w:rFonts w:hint="eastAsia"/>
                <w:b w:val="0"/>
                <w:i w:val="0"/>
                <w:strike w:val="0"/>
                <w:u w:val="none"/>
              </w:rPr>
              <w:t>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25威海银行CD135</w:t>
            </w:r>
          </w:p>
        </w:tc>
        <w:tc>
          <w:tcPr>
            <w:tcW w:w="2693" w:type="dxa"/>
            <w:shd w:val="clear" w:color="auto" w:fill="auto"/>
            <w:vAlign w:val="center"/>
          </w:tcPr>
          <w:p>
            <w:pPr>
              <w:ind w:hanging="1"/>
              <w:jc w:val="right"/>
            </w:pPr>
            <w:r>
              <w:rPr>
                <w:b w:val="0"/>
                <w:i w:val="0"/>
                <w:strike w:val="0"/>
                <w:u w:val="none"/>
              </w:rPr>
              <w:t>9,925,245.71</w:t>
            </w:r>
          </w:p>
        </w:tc>
        <w:tc>
          <w:tcPr>
            <w:tcW w:w="2431" w:type="dxa"/>
            <w:shd w:val="clear" w:color="auto" w:fill="auto"/>
            <w:vAlign w:val="center"/>
          </w:tcPr>
          <w:p>
            <w:pPr>
              <w:ind w:hanging="1"/>
              <w:jc w:val="right"/>
            </w:pPr>
            <w:r>
              <w:rPr>
                <w:rFonts w:hint="eastAsia"/>
                <w:b w:val="0"/>
                <w:i w:val="0"/>
                <w:strike w:val="0"/>
                <w:u w:val="none"/>
              </w:rPr>
              <w:t>4.34</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4CD83D05"/>
    <w:rsid w:val="51E06E0A"/>
    <w:rsid w:val="53167101"/>
    <w:rsid w:val="5B5FA6DC"/>
    <w:rsid w:val="63BE4DA7"/>
    <w:rsid w:val="6CB6511A"/>
    <w:rsid w:val="6D116A29"/>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178</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2026-01-12T07:58:39Z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871CC144ED8B477EB40EF5A5B93223B8</vt:lpwstr>
  </property>
</Properties>
</file>