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四川银行定开系列3个月1号净值型理财产品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四川银行定开系列3个月1号净值型理财产品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605,107,939.00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四川银行-四川银行定开系列3个月1号净值型理财产品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11.09</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2,219,602.75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2,554,572.75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605,144,755.69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605,144,755.69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1.1109</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383,294,201.70</w:t>
            </w:r>
          </w:p>
        </w:tc>
        <w:tc>
          <w:tcPr>
            <w:tcW w:w="1749" w:type="dxa"/>
            <w:shd w:val="clear" w:color="auto" w:fill="auto"/>
            <w:vAlign w:val="center"/>
          </w:tcPr>
          <w:p>
            <w:pPr>
              <w:jc w:val="right"/>
            </w:pPr>
            <w:r>
              <w:t>61.77</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383,294,201.70</w:t>
            </w:r>
          </w:p>
        </w:tc>
        <w:tc>
          <w:tcPr>
            <w:tcW w:w="1749" w:type="dxa"/>
            <w:shd w:val="clear" w:color="auto" w:fill="auto"/>
            <w:vAlign w:val="center"/>
          </w:tcPr>
          <w:p>
            <w:pPr>
              <w:jc w:val="right"/>
            </w:pPr>
            <w:r>
              <w:t>61.77</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51,003,120.84</w:t>
            </w:r>
          </w:p>
        </w:tc>
        <w:tc>
          <w:tcPr>
            <w:tcW w:w="1749" w:type="dxa"/>
            <w:shd w:val="clear" w:color="auto" w:fill="auto"/>
            <w:vAlign w:val="center"/>
          </w:tcPr>
          <w:p>
            <w:pPr>
              <w:jc w:val="right"/>
            </w:pPr>
            <w:r>
              <w:t>8.22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173,731,398.87</w:t>
            </w:r>
          </w:p>
        </w:tc>
        <w:tc>
          <w:tcPr>
            <w:tcW w:w="1749" w:type="dxa"/>
            <w:shd w:val="clear" w:color="auto" w:fill="auto"/>
            <w:vAlign w:val="center"/>
          </w:tcPr>
          <w:p>
            <w:pPr>
              <w:jc w:val="right"/>
            </w:pPr>
            <w:r>
              <w:t>28.00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12,520,215.05</w:t>
            </w:r>
          </w:p>
        </w:tc>
        <w:tc>
          <w:tcPr>
            <w:tcW w:w="1749" w:type="dxa"/>
            <w:shd w:val="clear" w:color="auto" w:fill="auto"/>
            <w:vAlign w:val="center"/>
          </w:tcPr>
          <w:p>
            <w:pPr>
              <w:jc w:val="right"/>
            </w:pPr>
            <w:r>
              <w:t>2.02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620,548,936.46</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51,003,120.84</w:t>
            </w:r>
          </w:p>
        </w:tc>
        <w:tc>
          <w:tcPr>
            <w:tcW w:w="2431" w:type="dxa"/>
            <w:shd w:val="clear" w:color="auto" w:fill="auto"/>
            <w:vAlign w:val="center"/>
          </w:tcPr>
          <w:p>
            <w:pPr>
              <w:jc w:val="right"/>
            </w:pPr>
            <w:bookmarkStart w:id="3" w:name="OLE_LINK5"/>
            <w:bookmarkEnd w:id="3"/>
            <w:bookmarkStart w:id="4" w:name="OLE_LINK6"/>
            <w:bookmarkEnd w:id="4"/>
            <w:r>
              <w:rPr>
                <w:rFonts w:hint="eastAsia"/>
              </w:rPr>
              <w:t>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25自贡高新MTN002</w:t>
            </w:r>
          </w:p>
        </w:tc>
        <w:tc>
          <w:tcPr>
            <w:tcW w:w="2693" w:type="dxa"/>
            <w:shd w:val="clear" w:color="auto" w:fill="auto"/>
            <w:vAlign w:val="center"/>
          </w:tcPr>
          <w:p>
            <w:pPr>
              <w:ind w:hanging="1"/>
              <w:jc w:val="right"/>
            </w:pPr>
            <w:r>
              <w:rPr>
                <w:b w:val="0"/>
                <w:i w:val="0"/>
                <w:strike w:val="0"/>
                <w:u w:val="none"/>
              </w:rPr>
              <w:t>24,876,541.10</w:t>
            </w:r>
          </w:p>
        </w:tc>
        <w:tc>
          <w:tcPr>
            <w:tcW w:w="2431" w:type="dxa"/>
            <w:shd w:val="clear" w:color="auto" w:fill="auto"/>
            <w:vAlign w:val="center"/>
          </w:tcPr>
          <w:p>
            <w:pPr>
              <w:ind w:hanging="1"/>
              <w:jc w:val="right"/>
            </w:pPr>
            <w:r>
              <w:rPr>
                <w:rFonts w:hint="eastAsia"/>
                <w:b w:val="0"/>
                <w:i w:val="0"/>
                <w:strike w:val="0"/>
                <w:u w:val="none"/>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23阳安债</w:t>
            </w:r>
          </w:p>
        </w:tc>
        <w:tc>
          <w:tcPr>
            <w:tcW w:w="2693" w:type="dxa"/>
            <w:shd w:val="clear" w:color="auto" w:fill="auto"/>
            <w:vAlign w:val="center"/>
          </w:tcPr>
          <w:p>
            <w:pPr>
              <w:ind w:hanging="1"/>
              <w:jc w:val="right"/>
            </w:pPr>
            <w:r>
              <w:rPr>
                <w:b w:val="0"/>
                <w:i w:val="0"/>
                <w:strike w:val="0"/>
                <w:u w:val="none"/>
              </w:rPr>
              <w:t>20,793,150.68</w:t>
            </w:r>
          </w:p>
        </w:tc>
        <w:tc>
          <w:tcPr>
            <w:tcW w:w="2431" w:type="dxa"/>
            <w:shd w:val="clear" w:color="auto" w:fill="auto"/>
            <w:vAlign w:val="center"/>
          </w:tcPr>
          <w:p>
            <w:pPr>
              <w:ind w:hanging="1"/>
              <w:jc w:val="right"/>
            </w:pPr>
            <w:r>
              <w:rPr>
                <w:rFonts w:hint="eastAsia"/>
                <w:b w:val="0"/>
                <w:i w:val="0"/>
                <w:strike w:val="0"/>
                <w:u w:val="none"/>
              </w:rPr>
              <w:t>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21眉山发展PPN001</w:t>
            </w:r>
          </w:p>
        </w:tc>
        <w:tc>
          <w:tcPr>
            <w:tcW w:w="2693" w:type="dxa"/>
            <w:shd w:val="clear" w:color="auto" w:fill="auto"/>
            <w:vAlign w:val="center"/>
          </w:tcPr>
          <w:p>
            <w:pPr>
              <w:ind w:hanging="1"/>
              <w:jc w:val="right"/>
            </w:pPr>
            <w:r>
              <w:rPr>
                <w:b w:val="0"/>
                <w:i w:val="0"/>
                <w:strike w:val="0"/>
                <w:u w:val="none"/>
              </w:rPr>
              <w:t>20,332,027.40</w:t>
            </w:r>
          </w:p>
        </w:tc>
        <w:tc>
          <w:tcPr>
            <w:tcW w:w="2431" w:type="dxa"/>
            <w:shd w:val="clear" w:color="auto" w:fill="auto"/>
            <w:vAlign w:val="center"/>
          </w:tcPr>
          <w:p>
            <w:pPr>
              <w:ind w:hanging="1"/>
              <w:jc w:val="right"/>
            </w:pPr>
            <w:r>
              <w:rPr>
                <w:rFonts w:hint="eastAsia"/>
                <w:b w:val="0"/>
                <w:i w:val="0"/>
                <w:strike w:val="0"/>
                <w:u w:val="none"/>
              </w:rPr>
              <w:t>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25吉林银行CD143</w:t>
            </w:r>
          </w:p>
        </w:tc>
        <w:tc>
          <w:tcPr>
            <w:tcW w:w="2693" w:type="dxa"/>
            <w:shd w:val="clear" w:color="auto" w:fill="auto"/>
            <w:vAlign w:val="center"/>
          </w:tcPr>
          <w:p>
            <w:pPr>
              <w:ind w:hanging="1"/>
              <w:jc w:val="right"/>
            </w:pPr>
            <w:r>
              <w:rPr>
                <w:b w:val="0"/>
                <w:i w:val="0"/>
                <w:strike w:val="0"/>
                <w:u w:val="none"/>
              </w:rPr>
              <w:t>19,946,758.22</w:t>
            </w:r>
          </w:p>
        </w:tc>
        <w:tc>
          <w:tcPr>
            <w:tcW w:w="2431" w:type="dxa"/>
            <w:shd w:val="clear" w:color="auto" w:fill="auto"/>
            <w:vAlign w:val="center"/>
          </w:tcPr>
          <w:p>
            <w:pPr>
              <w:ind w:hanging="1"/>
              <w:jc w:val="right"/>
            </w:pPr>
            <w:r>
              <w:rPr>
                <w:rFonts w:hint="eastAsia"/>
                <w:b w:val="0"/>
                <w:i w:val="0"/>
                <w:strike w:val="0"/>
                <w:u w:val="none"/>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25昆仑银行CD054</w:t>
            </w:r>
          </w:p>
        </w:tc>
        <w:tc>
          <w:tcPr>
            <w:tcW w:w="2693" w:type="dxa"/>
            <w:shd w:val="clear" w:color="auto" w:fill="auto"/>
            <w:vAlign w:val="center"/>
          </w:tcPr>
          <w:p>
            <w:pPr>
              <w:ind w:hanging="1"/>
              <w:jc w:val="right"/>
            </w:pPr>
            <w:r>
              <w:rPr>
                <w:b w:val="0"/>
                <w:i w:val="0"/>
                <w:strike w:val="0"/>
                <w:u w:val="none"/>
              </w:rPr>
              <w:t>19,856,689.23</w:t>
            </w:r>
          </w:p>
        </w:tc>
        <w:tc>
          <w:tcPr>
            <w:tcW w:w="2431" w:type="dxa"/>
            <w:shd w:val="clear" w:color="auto" w:fill="auto"/>
            <w:vAlign w:val="center"/>
          </w:tcPr>
          <w:p>
            <w:pPr>
              <w:ind w:hanging="1"/>
              <w:jc w:val="right"/>
            </w:pPr>
            <w:r>
              <w:rPr>
                <w:rFonts w:hint="eastAsia"/>
                <w:b w:val="0"/>
                <w:i w:val="0"/>
                <w:strike w:val="0"/>
                <w:u w:val="none"/>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25兰州银行CD059</w:t>
            </w:r>
          </w:p>
        </w:tc>
        <w:tc>
          <w:tcPr>
            <w:tcW w:w="2693" w:type="dxa"/>
            <w:shd w:val="clear" w:color="auto" w:fill="auto"/>
            <w:vAlign w:val="center"/>
          </w:tcPr>
          <w:p>
            <w:pPr>
              <w:ind w:hanging="1"/>
              <w:jc w:val="right"/>
            </w:pPr>
            <w:r>
              <w:rPr>
                <w:b w:val="0"/>
                <w:i w:val="0"/>
                <w:strike w:val="0"/>
                <w:u w:val="none"/>
              </w:rPr>
              <w:t>19,848,705.42</w:t>
            </w:r>
          </w:p>
        </w:tc>
        <w:tc>
          <w:tcPr>
            <w:tcW w:w="2431" w:type="dxa"/>
            <w:shd w:val="clear" w:color="auto" w:fill="auto"/>
            <w:vAlign w:val="center"/>
          </w:tcPr>
          <w:p>
            <w:pPr>
              <w:ind w:hanging="1"/>
              <w:jc w:val="right"/>
            </w:pPr>
            <w:r>
              <w:rPr>
                <w:rFonts w:hint="eastAsia"/>
                <w:b w:val="0"/>
                <w:i w:val="0"/>
                <w:strike w:val="0"/>
                <w:u w:val="none"/>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25贵州银行CD067</w:t>
            </w:r>
          </w:p>
        </w:tc>
        <w:tc>
          <w:tcPr>
            <w:tcW w:w="2693" w:type="dxa"/>
            <w:shd w:val="clear" w:color="auto" w:fill="auto"/>
            <w:vAlign w:val="center"/>
          </w:tcPr>
          <w:p>
            <w:pPr>
              <w:ind w:hanging="1"/>
              <w:jc w:val="right"/>
            </w:pPr>
            <w:r>
              <w:rPr>
                <w:b w:val="0"/>
                <w:i w:val="0"/>
                <w:strike w:val="0"/>
                <w:u w:val="none"/>
              </w:rPr>
              <w:t>19,829,263.67</w:t>
            </w:r>
          </w:p>
        </w:tc>
        <w:tc>
          <w:tcPr>
            <w:tcW w:w="2431" w:type="dxa"/>
            <w:shd w:val="clear" w:color="auto" w:fill="auto"/>
            <w:vAlign w:val="center"/>
          </w:tcPr>
          <w:p>
            <w:pPr>
              <w:ind w:hanging="1"/>
              <w:jc w:val="right"/>
            </w:pPr>
            <w:r>
              <w:rPr>
                <w:rFonts w:hint="eastAsia"/>
                <w:b w:val="0"/>
                <w:i w:val="0"/>
                <w:strike w:val="0"/>
                <w:u w:val="none"/>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25福建海峡银行CD131</w:t>
            </w:r>
          </w:p>
        </w:tc>
        <w:tc>
          <w:tcPr>
            <w:tcW w:w="2693" w:type="dxa"/>
            <w:shd w:val="clear" w:color="auto" w:fill="auto"/>
            <w:vAlign w:val="center"/>
          </w:tcPr>
          <w:p>
            <w:pPr>
              <w:ind w:hanging="1"/>
              <w:jc w:val="right"/>
            </w:pPr>
            <w:r>
              <w:rPr>
                <w:b w:val="0"/>
                <w:i w:val="0"/>
                <w:strike w:val="0"/>
                <w:u w:val="none"/>
              </w:rPr>
              <w:t>19,826,290.41</w:t>
            </w:r>
          </w:p>
        </w:tc>
        <w:tc>
          <w:tcPr>
            <w:tcW w:w="2431" w:type="dxa"/>
            <w:shd w:val="clear" w:color="auto" w:fill="auto"/>
            <w:vAlign w:val="center"/>
          </w:tcPr>
          <w:p>
            <w:pPr>
              <w:ind w:hanging="1"/>
              <w:jc w:val="right"/>
            </w:pPr>
            <w:r>
              <w:rPr>
                <w:rFonts w:hint="eastAsia"/>
                <w:b w:val="0"/>
                <w:i w:val="0"/>
                <w:strike w:val="0"/>
                <w:u w:val="none"/>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25威海银行CD125</w:t>
            </w:r>
          </w:p>
        </w:tc>
        <w:tc>
          <w:tcPr>
            <w:tcW w:w="2693" w:type="dxa"/>
            <w:shd w:val="clear" w:color="auto" w:fill="auto"/>
            <w:vAlign w:val="center"/>
          </w:tcPr>
          <w:p>
            <w:pPr>
              <w:ind w:hanging="1"/>
              <w:jc w:val="right"/>
            </w:pPr>
            <w:r>
              <w:rPr>
                <w:b w:val="0"/>
                <w:i w:val="0"/>
                <w:strike w:val="0"/>
                <w:u w:val="none"/>
              </w:rPr>
              <w:t>19,787,652.60</w:t>
            </w:r>
          </w:p>
        </w:tc>
        <w:tc>
          <w:tcPr>
            <w:tcW w:w="2431" w:type="dxa"/>
            <w:shd w:val="clear" w:color="auto" w:fill="auto"/>
            <w:vAlign w:val="center"/>
          </w:tcPr>
          <w:p>
            <w:pPr>
              <w:ind w:hanging="1"/>
              <w:jc w:val="right"/>
            </w:pPr>
            <w:r>
              <w:rPr>
                <w:rFonts w:hint="eastAsia"/>
                <w:b w:val="0"/>
                <w:i w:val="0"/>
                <w:strike w:val="0"/>
                <w:u w:val="none"/>
              </w:rPr>
              <w:t>3.27</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485453A"/>
    <w:rsid w:val="1DD13355"/>
    <w:rsid w:val="1F246194"/>
    <w:rsid w:val="21AF23DE"/>
    <w:rsid w:val="250932D9"/>
    <w:rsid w:val="30D863E3"/>
    <w:rsid w:val="35706056"/>
    <w:rsid w:val="35844C1F"/>
    <w:rsid w:val="378A66D0"/>
    <w:rsid w:val="431113D4"/>
    <w:rsid w:val="46050EA9"/>
    <w:rsid w:val="49D862C5"/>
    <w:rsid w:val="4B474E5A"/>
    <w:rsid w:val="51E06E0A"/>
    <w:rsid w:val="53167101"/>
    <w:rsid w:val="5B5FA6DC"/>
    <w:rsid w:val="604978F2"/>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178</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2026-01-12T06:43:15Z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B48C38475655492F9710BC6AF54F3A2E</vt:lpwstr>
  </property>
</Properties>
</file>