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widowControl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四川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银行20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年理财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业务半年报</w:t>
      </w:r>
    </w:p>
    <w:bookmarkEnd w:id="0"/>
    <w:p>
      <w:pPr>
        <w:widowControl/>
        <w:ind w:firstLine="640" w:firstLineChars="200"/>
        <w:jc w:val="left"/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本报告报告期为202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年1月1日至202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年6月30日，运行情况公告如下：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一、理财业务总体运行情况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报告期内四川银行共发行成立理财产品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期，各类产品净募集资金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-12.73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亿元;到期理财产品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期，合计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56.91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亿元;截至202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年6月末，全行理财产品余额为2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亿元。具体分类如下：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638"/>
        <w:gridCol w:w="1377"/>
        <w:gridCol w:w="1148"/>
        <w:gridCol w:w="1148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45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产品类型</w:t>
            </w:r>
          </w:p>
        </w:tc>
        <w:tc>
          <w:tcPr>
            <w:tcW w:w="13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发行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数量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净募集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金额(亿元)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到期数量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到期金额</w:t>
            </w:r>
            <w:r>
              <w:rPr>
                <w:rStyle w:val="7"/>
                <w:rFonts w:hint="eastAsia" w:ascii="仿宋" w:hAnsi="仿宋" w:eastAsia="仿宋" w:cs="仿宋"/>
                <w:lang w:bidi="ar"/>
              </w:rPr>
              <w:t>(亿元)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按募集方式划分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公募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-12.73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56.91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私募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按投资性质划分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固定收益类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-12.73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56.91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按运作模式划分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封闭式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-53.98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56.91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开放式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41.25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 xml:space="preserve">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期末存续理财产品情况</w:t>
      </w:r>
    </w:p>
    <w:p>
      <w:pPr>
        <w:spacing w:line="600" w:lineRule="exact"/>
        <w:ind w:firstLine="640" w:firstLineChars="200"/>
        <w:contextualSpacing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截至202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年6月末，我行存续理财产品共计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期，余额共计2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亿元。具体分类如下：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tbl>
      <w:tblPr>
        <w:tblStyle w:val="3"/>
        <w:tblW w:w="83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119"/>
        <w:gridCol w:w="1036"/>
        <w:gridCol w:w="1418"/>
        <w:gridCol w:w="1090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35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产品类型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年6月末数量（只）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年6月末(亿元)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年初数量（只）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年初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(亿元)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按募集方式划分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公募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210.24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222.71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私募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按投资性质划分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固定收益类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210.24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222.71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其他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按运作模式划分</w:t>
            </w:r>
            <w:r>
              <w:rPr>
                <w:rStyle w:val="6"/>
                <w:rFonts w:hint="eastAsia" w:ascii="仿宋" w:hAnsi="仿宋" w:eastAsia="仿宋" w:cs="仿宋"/>
                <w:color w:val="000000"/>
                <w:lang w:bidi="ar"/>
              </w:rPr>
              <w:footnoteReference w:id="0"/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封闭式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26.47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80.88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开放式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183.77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141.83</w:t>
            </w:r>
          </w:p>
        </w:tc>
      </w:tr>
    </w:tbl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三、 理财产品投资资产情况 </w:t>
      </w:r>
    </w:p>
    <w:p>
      <w:pPr>
        <w:ind w:left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1、期末投资资产情况</w:t>
      </w:r>
    </w:p>
    <w:p>
      <w:pPr>
        <w:spacing w:line="600" w:lineRule="exact"/>
        <w:ind w:firstLine="640" w:firstLineChars="200"/>
        <w:contextualSpacing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截至202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年6月末，我行理财产品穿透后底层资产投资标的主要包含：现金、债券、同业存单、交易所质押式逆回购、非标准化债权资产等，具体分类及占比如下：</w:t>
      </w:r>
    </w:p>
    <w:tbl>
      <w:tblPr>
        <w:tblStyle w:val="3"/>
        <w:tblW w:w="90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533"/>
        <w:gridCol w:w="1701"/>
        <w:gridCol w:w="1612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底层资产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年6月末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年初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金额（亿元）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占比（%）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金额（亿元）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现金及银行存款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12.58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5.98 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16.41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bottom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交易所质押式逆回购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34.16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16.24 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32.86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bottom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14.64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同业存单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64.07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30.47 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68.97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bottom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30.71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债券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96.98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46.12 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97.77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bottom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43.55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非标准化债权资产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2.50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1.19 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8.50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合计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210.28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  <w:lang w:val="en-US" w:eastAsia="zh-CN"/>
              </w:rPr>
              <w:t xml:space="preserve"> 100.00 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224.51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right"/>
              <w:textAlignment w:val="top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100.00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ind w:firstLine="643" w:firstLineChars="200"/>
        <w:jc w:val="left"/>
      </w:pPr>
      <w:r>
        <w:rPr>
          <w:rFonts w:hint="eastAsia" w:ascii="仿宋" w:hAnsi="仿宋" w:eastAsia="仿宋"/>
          <w:b/>
          <w:bCs/>
          <w:sz w:val="32"/>
          <w:szCs w:val="32"/>
        </w:rPr>
        <w:t>2、非标准化债权类资产情况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年6月末,我行理财投资非标准化债权资产余额为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" w:eastAsia="仿宋_GB2312"/>
          <w:sz w:val="32"/>
          <w:szCs w:val="32"/>
        </w:rPr>
        <w:t>亿元（按资产本金），详情如下：</w:t>
      </w:r>
    </w:p>
    <w:tbl>
      <w:tblPr>
        <w:tblStyle w:val="3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626"/>
        <w:gridCol w:w="1000"/>
        <w:gridCol w:w="1074"/>
        <w:gridCol w:w="1138"/>
        <w:gridCol w:w="77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216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项目名称</w:t>
            </w:r>
          </w:p>
        </w:tc>
        <w:tc>
          <w:tcPr>
            <w:tcW w:w="16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融资客户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金额（亿元）</w:t>
            </w:r>
          </w:p>
        </w:tc>
        <w:tc>
          <w:tcPr>
            <w:tcW w:w="107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剩余融资期限（天）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到期收益分配</w:t>
            </w:r>
          </w:p>
        </w:tc>
        <w:tc>
          <w:tcPr>
            <w:tcW w:w="7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交易结构</w:t>
            </w:r>
          </w:p>
        </w:tc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风险状况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0.5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华鑫信托·鑫吴197号集合资金信托计划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成都香城产业发展集团有限公司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171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按季付息，到期还本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集合资金信托计划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</w:pP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四、其他信息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根据《商业银行理财业务监督管理办法》（银保监令2018 </w:t>
      </w:r>
    </w:p>
    <w:p>
      <w:pPr>
        <w:rPr>
          <w:rFonts w:hint="eastAsia"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年第6号）披露要求，截至202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年6月末，我行理财产品投资于关联方资产总额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1.39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亿元（按资产</w:t>
      </w:r>
      <w:r>
        <w:rPr>
          <w:rFonts w:hint="eastAsia" w:ascii="仿宋_GB2312" w:hAnsi="仿宋" w:eastAsia="仿宋_GB2312"/>
          <w:sz w:val="32"/>
          <w:szCs w:val="32"/>
        </w:rPr>
        <w:t>本金），详情如下：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9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资产</w:t>
            </w:r>
            <w:r>
              <w:rPr>
                <w:rFonts w:ascii="仿宋" w:hAnsi="仿宋" w:eastAsia="仿宋" w:cs="仿宋"/>
                <w:color w:val="000000"/>
                <w:lang w:bidi="ar"/>
              </w:rPr>
              <w:t>名称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金额</w:t>
            </w:r>
            <w:r>
              <w:rPr>
                <w:rFonts w:ascii="仿宋" w:hAnsi="仿宋" w:eastAsia="仿宋" w:cs="仿宋"/>
                <w:color w:val="00000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亿元</w:t>
            </w:r>
            <w:r>
              <w:rPr>
                <w:rFonts w:ascii="仿宋" w:hAnsi="仿宋" w:eastAsia="仿宋" w:cs="仿宋"/>
                <w:color w:val="000000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21攀国投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工投2B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bidi="ar"/>
              </w:rPr>
              <w:t>合计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 w:bidi="ar"/>
              </w:rPr>
              <w:t>1.39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yellow"/>
          <w:lang w:bidi="ar"/>
        </w:rPr>
      </w:pPr>
    </w:p>
    <w:p>
      <w:pPr>
        <w:widowControl/>
        <w:jc w:val="righ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四川银行股份有限公司 </w:t>
      </w:r>
    </w:p>
    <w:p>
      <w:pPr>
        <w:widowControl/>
        <w:jc w:val="righ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因分项统计四舍五入原因，存在尾差情况。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3178B"/>
    <w:multiLevelType w:val="singleLevel"/>
    <w:tmpl w:val="D85317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iNmE5ZDJkNDJhNzAxZmZlNDY2YmZmZDczY2Q3ZGMifQ=="/>
  </w:docVars>
  <w:rsids>
    <w:rsidRoot w:val="7D585E88"/>
    <w:rsid w:val="00087D5F"/>
    <w:rsid w:val="000F4019"/>
    <w:rsid w:val="00100360"/>
    <w:rsid w:val="001E6268"/>
    <w:rsid w:val="002F316F"/>
    <w:rsid w:val="003A4861"/>
    <w:rsid w:val="00487416"/>
    <w:rsid w:val="005007F9"/>
    <w:rsid w:val="005A5017"/>
    <w:rsid w:val="007408A1"/>
    <w:rsid w:val="007E45D8"/>
    <w:rsid w:val="00816F92"/>
    <w:rsid w:val="00886FCC"/>
    <w:rsid w:val="008B7E94"/>
    <w:rsid w:val="00974096"/>
    <w:rsid w:val="009A6A7C"/>
    <w:rsid w:val="00A70FA2"/>
    <w:rsid w:val="00A83737"/>
    <w:rsid w:val="00EA3F20"/>
    <w:rsid w:val="00F33CCE"/>
    <w:rsid w:val="00FE2198"/>
    <w:rsid w:val="015514B2"/>
    <w:rsid w:val="02143A07"/>
    <w:rsid w:val="04A77240"/>
    <w:rsid w:val="0ADD2F10"/>
    <w:rsid w:val="0AF116BB"/>
    <w:rsid w:val="0B4861C6"/>
    <w:rsid w:val="0CB04EC9"/>
    <w:rsid w:val="105748A5"/>
    <w:rsid w:val="15EB56C3"/>
    <w:rsid w:val="1FD51C3E"/>
    <w:rsid w:val="20494FC9"/>
    <w:rsid w:val="227E58B4"/>
    <w:rsid w:val="22F24F0E"/>
    <w:rsid w:val="232767D9"/>
    <w:rsid w:val="23671F9E"/>
    <w:rsid w:val="23EB25CB"/>
    <w:rsid w:val="2B704D33"/>
    <w:rsid w:val="2BCC2A9E"/>
    <w:rsid w:val="2C5D1AC1"/>
    <w:rsid w:val="33DE37FC"/>
    <w:rsid w:val="34A3421F"/>
    <w:rsid w:val="352D2962"/>
    <w:rsid w:val="35E706E8"/>
    <w:rsid w:val="389F5823"/>
    <w:rsid w:val="3ABD4325"/>
    <w:rsid w:val="3F6C0E72"/>
    <w:rsid w:val="420D1ED6"/>
    <w:rsid w:val="422212D1"/>
    <w:rsid w:val="4256654E"/>
    <w:rsid w:val="42F72B86"/>
    <w:rsid w:val="453C3DB3"/>
    <w:rsid w:val="458E5741"/>
    <w:rsid w:val="471809A4"/>
    <w:rsid w:val="4C8E3361"/>
    <w:rsid w:val="4D520C49"/>
    <w:rsid w:val="4F947C8B"/>
    <w:rsid w:val="4FA32CAA"/>
    <w:rsid w:val="5196484B"/>
    <w:rsid w:val="5354012A"/>
    <w:rsid w:val="5383403C"/>
    <w:rsid w:val="55AF081D"/>
    <w:rsid w:val="55CC4CE0"/>
    <w:rsid w:val="56051FA0"/>
    <w:rsid w:val="58F8320A"/>
    <w:rsid w:val="59981AA8"/>
    <w:rsid w:val="5A0D63A3"/>
    <w:rsid w:val="5AA75A9A"/>
    <w:rsid w:val="5B921CB2"/>
    <w:rsid w:val="5C277537"/>
    <w:rsid w:val="68C00D9E"/>
    <w:rsid w:val="6CC11A42"/>
    <w:rsid w:val="6D4757C8"/>
    <w:rsid w:val="6D515497"/>
    <w:rsid w:val="6DB22A8A"/>
    <w:rsid w:val="71BE777B"/>
    <w:rsid w:val="733B37F1"/>
    <w:rsid w:val="73436234"/>
    <w:rsid w:val="74443638"/>
    <w:rsid w:val="75ED4EDC"/>
    <w:rsid w:val="761E400A"/>
    <w:rsid w:val="7D585E88"/>
    <w:rsid w:val="7E714E44"/>
    <w:rsid w:val="7FF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qFormat/>
    <w:uiPriority w:val="0"/>
    <w:rPr>
      <w:vertAlign w:val="superscript"/>
    </w:rPr>
  </w:style>
  <w:style w:type="character" w:customStyle="1" w:styleId="7">
    <w:name w:val="font2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9CB5-2A47-4208-93C8-7A763848E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1323</Words>
  <Characters>1687</Characters>
  <Lines>295</Lines>
  <Paragraphs>263</Paragraphs>
  <TotalTime>13</TotalTime>
  <ScaleCrop>false</ScaleCrop>
  <LinksUpToDate>false</LinksUpToDate>
  <CharactersWithSpaces>1779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2024-07-18T09:53:00Z</dcterms:created>
  <dc:creator>苏晓雅</dc:creator>
  <cp:lastModifiedBy>Administrator</cp:lastModifiedBy>
  <dcterms:modified xsi:type="dcterms:W3CDTF">2025-08-29T01:24:56Z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1BC43512D69840909A1EAD771E6A8533</vt:lpwstr>
  </property>
</Properties>
</file>