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四川银行定开系列周开净值型理财产品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自2025-03-12起至2025-06-30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四川银行定开系列周开净值型理财产品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C1438125000011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2025-03-12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354,840,869.00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[1.7%-2.7%]/年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四川银行定开系列周开净值型理财产品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955940027710000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2025-03-12</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0.55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2025-03-12</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-234,200.86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1,735,091.84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354,940,030.01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354,940,030.01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1.0055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313,582,571.78</w:t>
            </w:r>
          </w:p>
        </w:tc>
        <w:tc>
          <w:tcPr>
            <w:tcW w:w="1749" w:type="dxa"/>
            <w:shd w:val="clear" w:color="auto" w:fill="auto"/>
            <w:vAlign w:val="center"/>
          </w:tcPr>
          <w:p>
            <w:pPr>
              <w:jc w:val="right"/>
            </w:pPr>
            <w:r>
              <w:t>87.78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313,582,571.78</w:t>
            </w:r>
          </w:p>
        </w:tc>
        <w:tc>
          <w:tcPr>
            <w:tcW w:w="1749" w:type="dxa"/>
            <w:shd w:val="clear" w:color="auto" w:fill="auto"/>
            <w:vAlign w:val="center"/>
          </w:tcPr>
          <w:p>
            <w:pPr>
              <w:jc w:val="right"/>
            </w:pPr>
            <w:r>
              <w:t>87.78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43,662,671.28</w:t>
            </w:r>
          </w:p>
        </w:tc>
        <w:tc>
          <w:tcPr>
            <w:tcW w:w="1749" w:type="dxa"/>
            <w:shd w:val="clear" w:color="auto" w:fill="auto"/>
            <w:vAlign w:val="center"/>
          </w:tcPr>
          <w:p>
            <w:pPr>
              <w:jc w:val="right"/>
            </w:pPr>
            <w:r>
              <w:t>12.22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2,978.24</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357,248,221.30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20空港城发MTN002</w:t>
            </w:r>
          </w:p>
        </w:tc>
        <w:tc>
          <w:tcPr>
            <w:tcW w:w="2693" w:type="dxa"/>
            <w:shd w:val="clear" w:color="auto" w:fill="auto"/>
            <w:vAlign w:val="center"/>
          </w:tcPr>
          <w:p>
            <w:pPr>
              <w:jc w:val="right"/>
            </w:pPr>
            <w:r>
              <w:t>20,600,219.18</w:t>
            </w:r>
          </w:p>
        </w:tc>
        <w:tc>
          <w:tcPr>
            <w:tcW w:w="2431" w:type="dxa"/>
            <w:shd w:val="clear" w:color="auto" w:fill="auto"/>
            <w:vAlign w:val="center"/>
          </w:tcPr>
          <w:p>
            <w:pPr>
              <w:jc w:val="right"/>
            </w:pPr>
            <w:bookmarkStart w:id="3" w:name="OLE_LINK6"/>
            <w:bookmarkEnd w:id="3"/>
            <w:bookmarkStart w:id="4" w:name="OLE_LINK5"/>
            <w:bookmarkEnd w:id="4"/>
            <w:r>
              <w:rPr>
                <w:rFonts w:hint="eastAsia"/>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25威海商行CD058</w:t>
            </w:r>
          </w:p>
        </w:tc>
        <w:tc>
          <w:tcPr>
            <w:tcW w:w="2693" w:type="dxa"/>
            <w:shd w:val="clear" w:color="auto" w:fill="auto"/>
            <w:vAlign w:val="center"/>
          </w:tcPr>
          <w:p>
            <w:pPr>
              <w:ind w:hanging="1"/>
              <w:jc w:val="right"/>
            </w:pPr>
            <w:r>
              <w:rPr>
                <w:b w:val="0"/>
                <w:i w:val="0"/>
                <w:strike w:val="0"/>
                <w:u w:val="none"/>
              </w:rPr>
              <w:t>19,997,674.95</w:t>
            </w:r>
          </w:p>
        </w:tc>
        <w:tc>
          <w:tcPr>
            <w:tcW w:w="2431" w:type="dxa"/>
            <w:shd w:val="clear" w:color="auto" w:fill="auto"/>
            <w:vAlign w:val="center"/>
          </w:tcPr>
          <w:p>
            <w:pPr>
              <w:ind w:hanging="1"/>
              <w:jc w:val="right"/>
            </w:pPr>
            <w:r>
              <w:rPr>
                <w:rFonts w:hint="eastAsia"/>
                <w:b w:val="0"/>
                <w:i w:val="0"/>
                <w:strike w:val="0"/>
                <w:u w:val="none"/>
              </w:rPr>
              <w:t>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25长沙银行CD062</w:t>
            </w:r>
          </w:p>
        </w:tc>
        <w:tc>
          <w:tcPr>
            <w:tcW w:w="2693" w:type="dxa"/>
            <w:shd w:val="clear" w:color="auto" w:fill="auto"/>
            <w:vAlign w:val="center"/>
          </w:tcPr>
          <w:p>
            <w:pPr>
              <w:ind w:hanging="1"/>
              <w:jc w:val="right"/>
            </w:pPr>
            <w:r>
              <w:rPr>
                <w:b w:val="0"/>
                <w:i w:val="0"/>
                <w:strike w:val="0"/>
                <w:u w:val="none"/>
              </w:rPr>
              <w:t>19,990,522.20</w:t>
            </w:r>
          </w:p>
        </w:tc>
        <w:tc>
          <w:tcPr>
            <w:tcW w:w="2431" w:type="dxa"/>
            <w:shd w:val="clear" w:color="auto" w:fill="auto"/>
            <w:vAlign w:val="center"/>
          </w:tcPr>
          <w:p>
            <w:pPr>
              <w:ind w:hanging="1"/>
              <w:jc w:val="right"/>
            </w:pPr>
            <w:r>
              <w:rPr>
                <w:rFonts w:hint="eastAsia"/>
                <w:b w:val="0"/>
                <w:i w:val="0"/>
                <w:strike w:val="0"/>
                <w:u w:val="none"/>
              </w:rPr>
              <w:t>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19,980,850.50</w:t>
            </w:r>
          </w:p>
        </w:tc>
        <w:tc>
          <w:tcPr>
            <w:tcW w:w="2431" w:type="dxa"/>
            <w:shd w:val="clear" w:color="auto" w:fill="auto"/>
            <w:vAlign w:val="center"/>
          </w:tcPr>
          <w:p>
            <w:pPr>
              <w:ind w:hanging="1"/>
              <w:jc w:val="right"/>
            </w:pPr>
            <w:r>
              <w:rPr>
                <w:rFonts w:hint="eastAsia"/>
                <w:b w:val="0"/>
                <w:i w:val="0"/>
                <w:strike w:val="0"/>
                <w:u w:val="none"/>
              </w:rPr>
              <w:t>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25广东顺德农商行CD006</w:t>
            </w:r>
          </w:p>
        </w:tc>
        <w:tc>
          <w:tcPr>
            <w:tcW w:w="2693" w:type="dxa"/>
            <w:shd w:val="clear" w:color="auto" w:fill="auto"/>
            <w:vAlign w:val="center"/>
          </w:tcPr>
          <w:p>
            <w:pPr>
              <w:ind w:hanging="1"/>
              <w:jc w:val="right"/>
            </w:pPr>
            <w:r>
              <w:rPr>
                <w:b w:val="0"/>
                <w:i w:val="0"/>
                <w:strike w:val="0"/>
                <w:u w:val="none"/>
              </w:rPr>
              <w:t>19,762,831.56</w:t>
            </w:r>
          </w:p>
        </w:tc>
        <w:tc>
          <w:tcPr>
            <w:tcW w:w="2431" w:type="dxa"/>
            <w:shd w:val="clear" w:color="auto" w:fill="auto"/>
            <w:vAlign w:val="center"/>
          </w:tcPr>
          <w:p>
            <w:pPr>
              <w:ind w:hanging="1"/>
              <w:jc w:val="right"/>
            </w:pPr>
            <w:r>
              <w:rPr>
                <w:rFonts w:hint="eastAsia"/>
                <w:b w:val="0"/>
                <w:i w:val="0"/>
                <w:strike w:val="0"/>
                <w:u w:val="none"/>
              </w:rPr>
              <w:t>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25乌鲁木齐银行CD078</w:t>
            </w:r>
          </w:p>
        </w:tc>
        <w:tc>
          <w:tcPr>
            <w:tcW w:w="2693" w:type="dxa"/>
            <w:shd w:val="clear" w:color="auto" w:fill="auto"/>
            <w:vAlign w:val="center"/>
          </w:tcPr>
          <w:p>
            <w:pPr>
              <w:ind w:hanging="1"/>
              <w:jc w:val="right"/>
            </w:pPr>
            <w:r>
              <w:rPr>
                <w:b w:val="0"/>
                <w:i w:val="0"/>
                <w:strike w:val="0"/>
                <w:u w:val="none"/>
              </w:rPr>
              <w:t>19,707,917.70</w:t>
            </w:r>
          </w:p>
        </w:tc>
        <w:tc>
          <w:tcPr>
            <w:tcW w:w="2431" w:type="dxa"/>
            <w:shd w:val="clear" w:color="auto" w:fill="auto"/>
            <w:vAlign w:val="center"/>
          </w:tcPr>
          <w:p>
            <w:pPr>
              <w:ind w:hanging="1"/>
              <w:jc w:val="right"/>
            </w:pPr>
            <w:r>
              <w:rPr>
                <w:rFonts w:hint="eastAsia"/>
                <w:b w:val="0"/>
                <w:i w:val="0"/>
                <w:strike w:val="0"/>
                <w:u w:val="none"/>
              </w:rPr>
              <w:t>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20香城投资MTN002</w:t>
            </w:r>
          </w:p>
        </w:tc>
        <w:tc>
          <w:tcPr>
            <w:tcW w:w="2693" w:type="dxa"/>
            <w:shd w:val="clear" w:color="auto" w:fill="auto"/>
            <w:vAlign w:val="center"/>
          </w:tcPr>
          <w:p>
            <w:pPr>
              <w:ind w:hanging="1"/>
              <w:jc w:val="right"/>
            </w:pPr>
            <w:r>
              <w:rPr>
                <w:b w:val="0"/>
                <w:i w:val="0"/>
                <w:strike w:val="0"/>
                <w:u w:val="none"/>
              </w:rPr>
              <w:t>18,595,898.63</w:t>
            </w:r>
          </w:p>
        </w:tc>
        <w:tc>
          <w:tcPr>
            <w:tcW w:w="2431" w:type="dxa"/>
            <w:shd w:val="clear" w:color="auto" w:fill="auto"/>
            <w:vAlign w:val="center"/>
          </w:tcPr>
          <w:p>
            <w:pPr>
              <w:ind w:hanging="1"/>
              <w:jc w:val="right"/>
            </w:pPr>
            <w:r>
              <w:rPr>
                <w:rFonts w:hint="eastAsia"/>
                <w:b w:val="0"/>
                <w:i w:val="0"/>
                <w:strike w:val="0"/>
                <w:u w:val="none"/>
              </w:rPr>
              <w:t>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pPr>
              <w:ind w:hanging="1"/>
              <w:jc w:val="right"/>
            </w:pPr>
            <w:r>
              <w:rPr>
                <w:b w:val="0"/>
                <w:i w:val="0"/>
                <w:strike w:val="0"/>
                <w:u w:val="none"/>
              </w:rPr>
              <w:t>16,591,210.96</w:t>
            </w:r>
          </w:p>
        </w:tc>
        <w:tc>
          <w:tcPr>
            <w:tcW w:w="2431" w:type="dxa"/>
            <w:shd w:val="clear" w:color="auto" w:fill="auto"/>
            <w:vAlign w:val="center"/>
          </w:tcPr>
          <w:p>
            <w:pPr>
              <w:ind w:hanging="1"/>
              <w:jc w:val="right"/>
            </w:pPr>
            <w:r>
              <w:rPr>
                <w:rFonts w:hint="eastAsia"/>
                <w:b w:val="0"/>
                <w:i w:val="0"/>
                <w:strike w:val="0"/>
                <w:u w:val="none"/>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24江苏银行CD189</w:t>
            </w:r>
          </w:p>
        </w:tc>
        <w:tc>
          <w:tcPr>
            <w:tcW w:w="2693" w:type="dxa"/>
            <w:shd w:val="clear" w:color="auto" w:fill="auto"/>
            <w:vAlign w:val="center"/>
          </w:tcPr>
          <w:p>
            <w:pPr>
              <w:ind w:hanging="1"/>
              <w:jc w:val="right"/>
            </w:pPr>
            <w:r>
              <w:rPr>
                <w:b w:val="0"/>
                <w:i w:val="0"/>
                <w:strike w:val="0"/>
                <w:u w:val="none"/>
              </w:rPr>
              <w:t>14,960,406.25</w:t>
            </w:r>
          </w:p>
        </w:tc>
        <w:tc>
          <w:tcPr>
            <w:tcW w:w="2431" w:type="dxa"/>
            <w:shd w:val="clear" w:color="auto" w:fill="auto"/>
            <w:vAlign w:val="center"/>
          </w:tcPr>
          <w:p>
            <w:pPr>
              <w:ind w:hanging="1"/>
              <w:jc w:val="right"/>
            </w:pPr>
            <w:r>
              <w:rPr>
                <w:rFonts w:hint="eastAsia"/>
                <w:b w:val="0"/>
                <w:i w:val="0"/>
                <w:strike w:val="0"/>
                <w:u w:val="none"/>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24稠州商行CD030</w:t>
            </w:r>
          </w:p>
        </w:tc>
        <w:tc>
          <w:tcPr>
            <w:tcW w:w="2693" w:type="dxa"/>
            <w:shd w:val="clear" w:color="auto" w:fill="auto"/>
            <w:vAlign w:val="center"/>
          </w:tcPr>
          <w:p>
            <w:pPr>
              <w:ind w:hanging="1"/>
              <w:jc w:val="right"/>
            </w:pPr>
            <w:r>
              <w:rPr>
                <w:b w:val="0"/>
                <w:i w:val="0"/>
                <w:strike w:val="0"/>
                <w:u w:val="none"/>
              </w:rPr>
              <w:t>14,946,629.42</w:t>
            </w:r>
          </w:p>
        </w:tc>
        <w:tc>
          <w:tcPr>
            <w:tcW w:w="2431" w:type="dxa"/>
            <w:shd w:val="clear" w:color="auto" w:fill="auto"/>
            <w:vAlign w:val="center"/>
          </w:tcPr>
          <w:p>
            <w:pPr>
              <w:ind w:hanging="1"/>
              <w:jc w:val="right"/>
            </w:pPr>
            <w:r>
              <w:rPr>
                <w:rFonts w:hint="eastAsia"/>
                <w:b w:val="0"/>
                <w:i w:val="0"/>
                <w:strike w:val="0"/>
                <w:u w:val="none"/>
              </w:rPr>
              <w:t>4.21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23F7F18"/>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2025-07-10T07:11:53Z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