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四川银行定开系列6个月4号净值型理财产品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399,826,000.00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11.03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3,126,134.74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3,681,100.51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400,171,055.32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400,171,055.32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1.1103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342,648,545.64</w:t>
            </w:r>
          </w:p>
        </w:tc>
        <w:tc>
          <w:tcPr>
            <w:tcW w:w="1749" w:type="dxa"/>
            <w:shd w:val="clear" w:color="auto" w:fill="auto"/>
            <w:vAlign w:val="center"/>
          </w:tcPr>
          <w:p>
            <w:pPr>
              <w:jc w:val="right"/>
            </w:pPr>
            <w:r>
              <w:t>84.88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342,648,545.64</w:t>
            </w:r>
          </w:p>
        </w:tc>
        <w:tc>
          <w:tcPr>
            <w:tcW w:w="1749" w:type="dxa"/>
            <w:shd w:val="clear" w:color="auto" w:fill="auto"/>
            <w:vAlign w:val="center"/>
          </w:tcPr>
          <w:p>
            <w:pPr>
              <w:jc w:val="right"/>
            </w:pPr>
            <w:r>
              <w:t>84.88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50,010,774.20</w:t>
            </w:r>
          </w:p>
        </w:tc>
        <w:tc>
          <w:tcPr>
            <w:tcW w:w="1749" w:type="dxa"/>
            <w:shd w:val="clear" w:color="auto" w:fill="auto"/>
            <w:vAlign w:val="center"/>
          </w:tcPr>
          <w:p>
            <w:pPr>
              <w:jc w:val="right"/>
            </w:pPr>
            <w:r>
              <w:t>12.39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10,787,263.85</w:t>
            </w:r>
          </w:p>
        </w:tc>
        <w:tc>
          <w:tcPr>
            <w:tcW w:w="1749" w:type="dxa"/>
            <w:shd w:val="clear" w:color="auto" w:fill="auto"/>
            <w:vAlign w:val="center"/>
          </w:tcPr>
          <w:p>
            <w:pPr>
              <w:jc w:val="right"/>
            </w:pPr>
            <w:r>
              <w:t>2.67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243,101.98</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403,689,685.67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50,010,774.20</w:t>
            </w:r>
          </w:p>
        </w:tc>
        <w:tc>
          <w:tcPr>
            <w:tcW w:w="2431" w:type="dxa"/>
            <w:shd w:val="clear" w:color="auto" w:fill="auto"/>
            <w:vAlign w:val="center"/>
          </w:tcPr>
          <w:p>
            <w:pPr>
              <w:jc w:val="right"/>
            </w:pPr>
            <w:bookmarkStart w:id="3" w:name="OLE_LINK5"/>
            <w:bookmarkEnd w:id="3"/>
            <w:bookmarkStart w:id="4" w:name="OLE_LINK6"/>
            <w:bookmarkEnd w:id="4"/>
            <w:r>
              <w:rPr>
                <w:rFonts w:hint="eastAsia"/>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21,676,082.19</w:t>
            </w:r>
          </w:p>
        </w:tc>
        <w:tc>
          <w:tcPr>
            <w:tcW w:w="2431" w:type="dxa"/>
            <w:shd w:val="clear" w:color="auto" w:fill="auto"/>
            <w:vAlign w:val="center"/>
          </w:tcPr>
          <w:p>
            <w:pPr>
              <w:ind w:hanging="1"/>
              <w:jc w:val="right"/>
            </w:pPr>
            <w:r>
              <w:rPr>
                <w:rFonts w:hint="eastAsia"/>
                <w:b w:val="0"/>
                <w:i w:val="0"/>
                <w:strike w:val="0"/>
                <w:u w:val="none"/>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20,897,720.55</w:t>
            </w:r>
          </w:p>
        </w:tc>
        <w:tc>
          <w:tcPr>
            <w:tcW w:w="2431" w:type="dxa"/>
            <w:shd w:val="clear" w:color="auto" w:fill="auto"/>
            <w:vAlign w:val="center"/>
          </w:tcPr>
          <w:p>
            <w:pPr>
              <w:ind w:hanging="1"/>
              <w:jc w:val="right"/>
            </w:pPr>
            <w:r>
              <w:rPr>
                <w:rFonts w:hint="eastAsia"/>
                <w:b w:val="0"/>
                <w:i w:val="0"/>
                <w:strike w:val="0"/>
                <w:u w:val="none"/>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20,691,736.99</w:t>
            </w:r>
          </w:p>
        </w:tc>
        <w:tc>
          <w:tcPr>
            <w:tcW w:w="2431" w:type="dxa"/>
            <w:shd w:val="clear" w:color="auto" w:fill="auto"/>
            <w:vAlign w:val="center"/>
          </w:tcPr>
          <w:p>
            <w:pPr>
              <w:ind w:hanging="1"/>
              <w:jc w:val="right"/>
            </w:pPr>
            <w:r>
              <w:rPr>
                <w:rFonts w:hint="eastAsia"/>
                <w:b w:val="0"/>
                <w:i w:val="0"/>
                <w:strike w:val="0"/>
                <w:u w:val="none"/>
              </w:rPr>
              <w:t>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20,048,383.56</w:t>
            </w:r>
          </w:p>
        </w:tc>
        <w:tc>
          <w:tcPr>
            <w:tcW w:w="2431" w:type="dxa"/>
            <w:shd w:val="clear" w:color="auto" w:fill="auto"/>
            <w:vAlign w:val="center"/>
          </w:tcPr>
          <w:p>
            <w:pPr>
              <w:ind w:hanging="1"/>
              <w:jc w:val="right"/>
            </w:pPr>
            <w:r>
              <w:rPr>
                <w:rFonts w:hint="eastAsia"/>
                <w:b w:val="0"/>
                <w:i w:val="0"/>
                <w:strike w:val="0"/>
                <w:u w:val="none"/>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19,990,136.99</w:t>
            </w:r>
          </w:p>
        </w:tc>
        <w:tc>
          <w:tcPr>
            <w:tcW w:w="2431" w:type="dxa"/>
            <w:shd w:val="clear" w:color="auto" w:fill="auto"/>
            <w:vAlign w:val="center"/>
          </w:tcPr>
          <w:p>
            <w:pPr>
              <w:ind w:hanging="1"/>
              <w:jc w:val="right"/>
            </w:pPr>
            <w:r>
              <w:rPr>
                <w:rFonts w:hint="eastAsia"/>
                <w:b w:val="0"/>
                <w:i w:val="0"/>
                <w:strike w:val="0"/>
                <w:u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25重庆三峡银行CD035</w:t>
            </w:r>
          </w:p>
        </w:tc>
        <w:tc>
          <w:tcPr>
            <w:tcW w:w="2693" w:type="dxa"/>
            <w:shd w:val="clear" w:color="auto" w:fill="auto"/>
            <w:vAlign w:val="center"/>
          </w:tcPr>
          <w:p>
            <w:pPr>
              <w:ind w:hanging="1"/>
              <w:jc w:val="right"/>
            </w:pPr>
            <w:r>
              <w:rPr>
                <w:b w:val="0"/>
                <w:i w:val="0"/>
                <w:strike w:val="0"/>
                <w:u w:val="none"/>
              </w:rPr>
              <w:t>19,764,592.16</w:t>
            </w:r>
          </w:p>
        </w:tc>
        <w:tc>
          <w:tcPr>
            <w:tcW w:w="2431" w:type="dxa"/>
            <w:shd w:val="clear" w:color="auto" w:fill="auto"/>
            <w:vAlign w:val="center"/>
          </w:tcPr>
          <w:p>
            <w:pPr>
              <w:ind w:hanging="1"/>
              <w:jc w:val="right"/>
            </w:pPr>
            <w:r>
              <w:rPr>
                <w:rFonts w:hint="eastAsia"/>
                <w:b w:val="0"/>
                <w:i w:val="0"/>
                <w:strike w:val="0"/>
                <w:u w:val="none"/>
              </w:rPr>
              <w:t>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17,262,698.90</w:t>
            </w:r>
          </w:p>
        </w:tc>
        <w:tc>
          <w:tcPr>
            <w:tcW w:w="2431" w:type="dxa"/>
            <w:shd w:val="clear" w:color="auto" w:fill="auto"/>
            <w:vAlign w:val="center"/>
          </w:tcPr>
          <w:p>
            <w:pPr>
              <w:ind w:hanging="1"/>
              <w:jc w:val="right"/>
            </w:pPr>
            <w:r>
              <w:rPr>
                <w:rFonts w:hint="eastAsia"/>
                <w:b w:val="0"/>
                <w:i w:val="0"/>
                <w:strike w:val="0"/>
                <w:u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24日照银行CD122</w:t>
            </w:r>
          </w:p>
        </w:tc>
        <w:tc>
          <w:tcPr>
            <w:tcW w:w="2693" w:type="dxa"/>
            <w:shd w:val="clear" w:color="auto" w:fill="auto"/>
            <w:vAlign w:val="center"/>
          </w:tcPr>
          <w:p>
            <w:pPr>
              <w:ind w:hanging="1"/>
              <w:jc w:val="right"/>
            </w:pPr>
            <w:r>
              <w:rPr>
                <w:b w:val="0"/>
                <w:i w:val="0"/>
                <w:strike w:val="0"/>
                <w:u w:val="none"/>
              </w:rPr>
              <w:t>14,940,327.62</w:t>
            </w:r>
          </w:p>
        </w:tc>
        <w:tc>
          <w:tcPr>
            <w:tcW w:w="2431" w:type="dxa"/>
            <w:shd w:val="clear" w:color="auto" w:fill="auto"/>
            <w:vAlign w:val="center"/>
          </w:tcPr>
          <w:p>
            <w:pPr>
              <w:ind w:hanging="1"/>
              <w:jc w:val="right"/>
            </w:pPr>
            <w:r>
              <w:rPr>
                <w:rFonts w:hint="eastAsia"/>
                <w:b w:val="0"/>
                <w:i w:val="0"/>
                <w:strike w:val="0"/>
                <w:u w:val="none"/>
              </w:rPr>
              <w:t>3.73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42D1A68"/>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2025-07-10T07:06:37Z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