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四川银行定开系列6个月2号净值型理财产品</w:t>
      </w:r>
    </w:p>
    <w:p>
      <w:pPr>
        <w:jc w:val="center"/>
        <w:rPr>
          <w:rFonts w:ascii="宋体" w:hAnsi="宋体"/>
          <w:b/>
          <w:bCs/>
          <w:sz w:val="48"/>
          <w:szCs w:val="30"/>
        </w:rPr>
      </w:pPr>
      <w:r>
        <w:rPr>
          <w:rFonts w:ascii="宋体" w:hAnsi="宋体"/>
          <w:b/>
          <w:bCs/>
          <w:sz w:val="48"/>
          <w:szCs w:val="30"/>
        </w:rPr>
        <w:t>2025年半年度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自2025-01-01起至2025-06-30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四川银行定开系列6个月2号净值型理财产品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C1438121000171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2021-11-26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605,332,100.00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[2.25%-3.25%]/年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100.75%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四川银行-四川银行定开系列6个月2号净值型理财产品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128912158810403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2025-06-30</w:t>
            </w:r>
            <w:r>
              <w:rPr>
                <w:rFonts w:hint="eastAsia" w:ascii="宋体" w:hAnsi="宋体"/>
              </w:rPr>
              <w:t>）</w:t>
            </w:r>
          </w:p>
        </w:tc>
        <w:tc>
          <w:tcPr>
            <w:tcW w:w="5103" w:type="dxa"/>
            <w:vAlign w:val="center"/>
          </w:tcPr>
          <w:p>
            <w:pPr>
              <w:jc w:val="right"/>
            </w:pPr>
            <w:r>
              <w:t>1.09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12.75</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2025-01-01</w:t>
            </w:r>
            <w:r>
              <w:rPr>
                <w:rFonts w:hint="eastAsia"/>
                <w:b/>
              </w:rPr>
              <w:t xml:space="preserve">至 </w:t>
            </w:r>
            <w:r>
              <w:rPr>
                <w:b/>
              </w:rPr>
              <w:t>2025-06-30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6,101,883.16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5,744,607.97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606,824,699.70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1.1275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606,824,699.70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1.1275</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454,831,588.00</w:t>
            </w:r>
          </w:p>
        </w:tc>
        <w:tc>
          <w:tcPr>
            <w:tcW w:w="1749" w:type="dxa"/>
            <w:shd w:val="clear" w:color="auto" w:fill="auto"/>
            <w:vAlign w:val="center"/>
          </w:tcPr>
          <w:p>
            <w:pPr>
              <w:jc w:val="right"/>
            </w:pPr>
            <w:r>
              <w:t>74.39</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454,831,588.00</w:t>
            </w:r>
          </w:p>
        </w:tc>
        <w:tc>
          <w:tcPr>
            <w:tcW w:w="1749" w:type="dxa"/>
            <w:shd w:val="clear" w:color="auto" w:fill="auto"/>
            <w:vAlign w:val="center"/>
          </w:tcPr>
          <w:p>
            <w:pPr>
              <w:jc w:val="right"/>
            </w:pPr>
            <w:r>
              <w:t>74.39</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150,032,322.60</w:t>
            </w:r>
          </w:p>
        </w:tc>
        <w:tc>
          <w:tcPr>
            <w:tcW w:w="1749" w:type="dxa"/>
            <w:shd w:val="clear" w:color="auto" w:fill="auto"/>
            <w:vAlign w:val="center"/>
          </w:tcPr>
          <w:p>
            <w:pPr>
              <w:jc w:val="right"/>
            </w:pPr>
            <w:r>
              <w:t>24.54</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6,443,508.02</w:t>
            </w:r>
          </w:p>
        </w:tc>
        <w:tc>
          <w:tcPr>
            <w:tcW w:w="1749" w:type="dxa"/>
            <w:shd w:val="clear" w:color="auto" w:fill="auto"/>
            <w:vAlign w:val="center"/>
          </w:tcPr>
          <w:p>
            <w:pPr>
              <w:jc w:val="right"/>
            </w:pPr>
            <w:r>
              <w:t>1.05</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71,563.75</w:t>
            </w:r>
          </w:p>
        </w:tc>
        <w:tc>
          <w:tcPr>
            <w:tcW w:w="1749" w:type="dxa"/>
            <w:shd w:val="clear" w:color="auto" w:fill="auto"/>
            <w:vAlign w:val="center"/>
          </w:tcPr>
          <w:p>
            <w:pPr>
              <w:jc w:val="right"/>
            </w:pPr>
            <w:r>
              <w:t>0.01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611,378,982.37</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150,032,322.60</w:t>
            </w:r>
          </w:p>
        </w:tc>
        <w:tc>
          <w:tcPr>
            <w:tcW w:w="2431" w:type="dxa"/>
            <w:shd w:val="clear" w:color="auto" w:fill="auto"/>
            <w:vAlign w:val="center"/>
          </w:tcPr>
          <w:p>
            <w:pPr>
              <w:jc w:val="right"/>
            </w:pPr>
            <w:bookmarkStart w:id="3" w:name="OLE_LINK5"/>
            <w:bookmarkEnd w:id="3"/>
            <w:bookmarkStart w:id="4" w:name="OLE_LINK6"/>
            <w:bookmarkEnd w:id="4"/>
            <w:r>
              <w:rPr>
                <w:rFonts w:hint="eastAsia"/>
              </w:rPr>
              <w:t>24.72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22眉控01</w:t>
            </w:r>
          </w:p>
        </w:tc>
        <w:tc>
          <w:tcPr>
            <w:tcW w:w="2693" w:type="dxa"/>
            <w:shd w:val="clear" w:color="auto" w:fill="auto"/>
            <w:vAlign w:val="center"/>
          </w:tcPr>
          <w:p>
            <w:pPr>
              <w:ind w:hanging="1"/>
              <w:jc w:val="right"/>
            </w:pPr>
            <w:r>
              <w:rPr>
                <w:b w:val="0"/>
                <w:i w:val="0"/>
                <w:strike w:val="0"/>
                <w:u w:val="none"/>
              </w:rPr>
              <w:t>52,126,232.88</w:t>
            </w:r>
          </w:p>
        </w:tc>
        <w:tc>
          <w:tcPr>
            <w:tcW w:w="2431" w:type="dxa"/>
            <w:shd w:val="clear" w:color="auto" w:fill="auto"/>
            <w:vAlign w:val="center"/>
          </w:tcPr>
          <w:p>
            <w:pPr>
              <w:ind w:hanging="1"/>
              <w:jc w:val="right"/>
            </w:pPr>
            <w:r>
              <w:rPr>
                <w:rFonts w:hint="eastAsia"/>
                <w:b w:val="0"/>
                <w:i w:val="0"/>
                <w:strike w:val="0"/>
                <w:u w:val="none"/>
              </w:rPr>
              <w:t>8.59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23阳安债</w:t>
            </w:r>
          </w:p>
        </w:tc>
        <w:tc>
          <w:tcPr>
            <w:tcW w:w="2693" w:type="dxa"/>
            <w:shd w:val="clear" w:color="auto" w:fill="auto"/>
            <w:vAlign w:val="center"/>
          </w:tcPr>
          <w:p>
            <w:pPr>
              <w:ind w:hanging="1"/>
              <w:jc w:val="right"/>
            </w:pPr>
            <w:r>
              <w:rPr>
                <w:b w:val="0"/>
                <w:i w:val="0"/>
                <w:strike w:val="0"/>
                <w:u w:val="none"/>
              </w:rPr>
              <w:t>21,638,219.18</w:t>
            </w:r>
          </w:p>
        </w:tc>
        <w:tc>
          <w:tcPr>
            <w:tcW w:w="2431" w:type="dxa"/>
            <w:shd w:val="clear" w:color="auto" w:fill="auto"/>
            <w:vAlign w:val="center"/>
          </w:tcPr>
          <w:p>
            <w:pPr>
              <w:ind w:hanging="1"/>
              <w:jc w:val="right"/>
            </w:pPr>
            <w:r>
              <w:rPr>
                <w:rFonts w:hint="eastAsia"/>
                <w:b w:val="0"/>
                <w:i w:val="0"/>
                <w:strike w:val="0"/>
                <w:u w:val="none"/>
              </w:rPr>
              <w:t>3.57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23达州投资MTN001</w:t>
            </w:r>
          </w:p>
        </w:tc>
        <w:tc>
          <w:tcPr>
            <w:tcW w:w="2693" w:type="dxa"/>
            <w:shd w:val="clear" w:color="auto" w:fill="auto"/>
            <w:vAlign w:val="center"/>
          </w:tcPr>
          <w:p>
            <w:pPr>
              <w:ind w:hanging="1"/>
              <w:jc w:val="right"/>
            </w:pPr>
            <w:r>
              <w:rPr>
                <w:b w:val="0"/>
                <w:i w:val="0"/>
                <w:strike w:val="0"/>
                <w:u w:val="none"/>
              </w:rPr>
              <w:t>20,691,736.99</w:t>
            </w:r>
          </w:p>
        </w:tc>
        <w:tc>
          <w:tcPr>
            <w:tcW w:w="2431" w:type="dxa"/>
            <w:shd w:val="clear" w:color="auto" w:fill="auto"/>
            <w:vAlign w:val="center"/>
          </w:tcPr>
          <w:p>
            <w:pPr>
              <w:ind w:hanging="1"/>
              <w:jc w:val="right"/>
            </w:pPr>
            <w:r>
              <w:rPr>
                <w:rFonts w:hint="eastAsia"/>
                <w:b w:val="0"/>
                <w:i w:val="0"/>
                <w:strike w:val="0"/>
                <w:u w:val="none"/>
              </w:rPr>
              <w:t>3.41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22攀钢02</w:t>
            </w:r>
          </w:p>
        </w:tc>
        <w:tc>
          <w:tcPr>
            <w:tcW w:w="2693" w:type="dxa"/>
            <w:shd w:val="clear" w:color="auto" w:fill="auto"/>
            <w:vAlign w:val="center"/>
          </w:tcPr>
          <w:p>
            <w:pPr>
              <w:ind w:hanging="1"/>
              <w:jc w:val="right"/>
            </w:pPr>
            <w:r>
              <w:rPr>
                <w:b w:val="0"/>
                <w:i w:val="0"/>
                <w:strike w:val="0"/>
                <w:u w:val="none"/>
              </w:rPr>
              <w:t>20,662,526.03</w:t>
            </w:r>
          </w:p>
        </w:tc>
        <w:tc>
          <w:tcPr>
            <w:tcW w:w="2431" w:type="dxa"/>
            <w:shd w:val="clear" w:color="auto" w:fill="auto"/>
            <w:vAlign w:val="center"/>
          </w:tcPr>
          <w:p>
            <w:pPr>
              <w:ind w:hanging="1"/>
              <w:jc w:val="right"/>
            </w:pPr>
            <w:r>
              <w:rPr>
                <w:rFonts w:hint="eastAsia"/>
                <w:b w:val="0"/>
                <w:i w:val="0"/>
                <w:strike w:val="0"/>
                <w:u w:val="none"/>
              </w:rPr>
              <w:t>3.41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22眉山发展PPN001</w:t>
            </w:r>
          </w:p>
        </w:tc>
        <w:tc>
          <w:tcPr>
            <w:tcW w:w="2693" w:type="dxa"/>
            <w:shd w:val="clear" w:color="auto" w:fill="auto"/>
            <w:vAlign w:val="center"/>
          </w:tcPr>
          <w:p>
            <w:pPr>
              <w:ind w:hanging="1"/>
              <w:jc w:val="right"/>
            </w:pPr>
            <w:r>
              <w:rPr>
                <w:b w:val="0"/>
                <w:i w:val="0"/>
                <w:strike w:val="0"/>
                <w:u w:val="none"/>
              </w:rPr>
              <w:t>20,389,287.67</w:t>
            </w:r>
          </w:p>
        </w:tc>
        <w:tc>
          <w:tcPr>
            <w:tcW w:w="2431" w:type="dxa"/>
            <w:shd w:val="clear" w:color="auto" w:fill="auto"/>
            <w:vAlign w:val="center"/>
          </w:tcPr>
          <w:p>
            <w:pPr>
              <w:ind w:hanging="1"/>
              <w:jc w:val="right"/>
            </w:pPr>
            <w:r>
              <w:rPr>
                <w:rFonts w:hint="eastAsia"/>
                <w:b w:val="0"/>
                <w:i w:val="0"/>
                <w:strike w:val="0"/>
                <w:u w:val="none"/>
              </w:rPr>
              <w:t>3.36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24兴锦农业PPN001A</w:t>
            </w:r>
          </w:p>
        </w:tc>
        <w:tc>
          <w:tcPr>
            <w:tcW w:w="2693" w:type="dxa"/>
            <w:shd w:val="clear" w:color="auto" w:fill="auto"/>
            <w:vAlign w:val="center"/>
          </w:tcPr>
          <w:p>
            <w:pPr>
              <w:ind w:hanging="1"/>
              <w:jc w:val="right"/>
            </w:pPr>
            <w:r>
              <w:rPr>
                <w:b w:val="0"/>
                <w:i w:val="0"/>
                <w:strike w:val="0"/>
                <w:u w:val="none"/>
              </w:rPr>
              <w:t>20,385,490.41</w:t>
            </w:r>
          </w:p>
        </w:tc>
        <w:tc>
          <w:tcPr>
            <w:tcW w:w="2431" w:type="dxa"/>
            <w:shd w:val="clear" w:color="auto" w:fill="auto"/>
            <w:vAlign w:val="center"/>
          </w:tcPr>
          <w:p>
            <w:pPr>
              <w:ind w:hanging="1"/>
              <w:jc w:val="right"/>
            </w:pPr>
            <w:r>
              <w:rPr>
                <w:rFonts w:hint="eastAsia"/>
                <w:b w:val="0"/>
                <w:i w:val="0"/>
                <w:strike w:val="0"/>
                <w:u w:val="none"/>
              </w:rPr>
              <w:t>3.36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25泸发01</w:t>
            </w:r>
          </w:p>
        </w:tc>
        <w:tc>
          <w:tcPr>
            <w:tcW w:w="2693" w:type="dxa"/>
            <w:shd w:val="clear" w:color="auto" w:fill="auto"/>
            <w:vAlign w:val="center"/>
          </w:tcPr>
          <w:p>
            <w:pPr>
              <w:ind w:hanging="1"/>
              <w:jc w:val="right"/>
            </w:pPr>
            <w:r>
              <w:rPr>
                <w:b w:val="0"/>
                <w:i w:val="0"/>
                <w:strike w:val="0"/>
                <w:u w:val="none"/>
              </w:rPr>
              <w:t>20,168,673.86</w:t>
            </w:r>
          </w:p>
        </w:tc>
        <w:tc>
          <w:tcPr>
            <w:tcW w:w="2431" w:type="dxa"/>
            <w:shd w:val="clear" w:color="auto" w:fill="auto"/>
            <w:vAlign w:val="center"/>
          </w:tcPr>
          <w:p>
            <w:pPr>
              <w:ind w:hanging="1"/>
              <w:jc w:val="right"/>
            </w:pPr>
            <w:r>
              <w:rPr>
                <w:rFonts w:hint="eastAsia"/>
                <w:b w:val="0"/>
                <w:i w:val="0"/>
                <w:strike w:val="0"/>
                <w:u w:val="none"/>
              </w:rPr>
              <w:t>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25眉资03</w:t>
            </w:r>
          </w:p>
        </w:tc>
        <w:tc>
          <w:tcPr>
            <w:tcW w:w="2693" w:type="dxa"/>
            <w:shd w:val="clear" w:color="auto" w:fill="auto"/>
            <w:vAlign w:val="center"/>
          </w:tcPr>
          <w:p>
            <w:pPr>
              <w:ind w:hanging="1"/>
              <w:jc w:val="right"/>
            </w:pPr>
            <w:r>
              <w:rPr>
                <w:b w:val="0"/>
                <w:i w:val="0"/>
                <w:strike w:val="0"/>
                <w:u w:val="none"/>
              </w:rPr>
              <w:t>20,102,547.95</w:t>
            </w:r>
          </w:p>
        </w:tc>
        <w:tc>
          <w:tcPr>
            <w:tcW w:w="2431" w:type="dxa"/>
            <w:shd w:val="clear" w:color="auto" w:fill="auto"/>
            <w:vAlign w:val="center"/>
          </w:tcPr>
          <w:p>
            <w:pPr>
              <w:ind w:hanging="1"/>
              <w:jc w:val="right"/>
            </w:pPr>
            <w:r>
              <w:rPr>
                <w:rFonts w:hint="eastAsia"/>
                <w:b w:val="0"/>
                <w:i w:val="0"/>
                <w:strike w:val="0"/>
                <w:u w:val="none"/>
              </w:rPr>
              <w:t>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25绵控03</w:t>
            </w:r>
          </w:p>
        </w:tc>
        <w:tc>
          <w:tcPr>
            <w:tcW w:w="2693" w:type="dxa"/>
            <w:shd w:val="clear" w:color="auto" w:fill="auto"/>
            <w:vAlign w:val="center"/>
          </w:tcPr>
          <w:p>
            <w:pPr>
              <w:ind w:hanging="1"/>
              <w:jc w:val="right"/>
            </w:pPr>
            <w:r>
              <w:rPr>
                <w:b w:val="0"/>
                <w:i w:val="0"/>
                <w:strike w:val="0"/>
                <w:u w:val="none"/>
              </w:rPr>
              <w:t>20,090,575.34</w:t>
            </w:r>
          </w:p>
        </w:tc>
        <w:tc>
          <w:tcPr>
            <w:tcW w:w="2431" w:type="dxa"/>
            <w:shd w:val="clear" w:color="auto" w:fill="auto"/>
            <w:vAlign w:val="center"/>
          </w:tcPr>
          <w:p>
            <w:pPr>
              <w:ind w:hanging="1"/>
              <w:jc w:val="right"/>
            </w:pPr>
            <w:r>
              <w:rPr>
                <w:rFonts w:hint="eastAsia"/>
                <w:b w:val="0"/>
                <w:i w:val="0"/>
                <w:strike w:val="0"/>
                <w:u w:val="none"/>
              </w:rPr>
              <w:t>3.31</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bookmarkStart w:id="5" w:name="_GoBack"/>
      <w:bookmarkEnd w:id="5"/>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3E0B2A66"/>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2025-07-10T07:06:05Z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