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四川银行定开系列6个月16号净值型理财产品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166,452,831.00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11.11</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2,383,011.43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2,466,274.95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167,232,775.19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167,232,775.19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1.1111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154,533,680.66</w:t>
            </w:r>
          </w:p>
        </w:tc>
        <w:tc>
          <w:tcPr>
            <w:tcW w:w="1749" w:type="dxa"/>
            <w:shd w:val="clear" w:color="auto" w:fill="auto"/>
            <w:vAlign w:val="center"/>
          </w:tcPr>
          <w:p>
            <w:pPr>
              <w:jc w:val="right"/>
            </w:pPr>
            <w:r>
              <w:t>91.20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144,494,102.58</w:t>
            </w:r>
          </w:p>
        </w:tc>
        <w:tc>
          <w:tcPr>
            <w:tcW w:w="1749" w:type="dxa"/>
            <w:shd w:val="clear" w:color="auto" w:fill="auto"/>
            <w:vAlign w:val="center"/>
          </w:tcPr>
          <w:p>
            <w:pPr>
              <w:jc w:val="right"/>
            </w:pPr>
            <w:r>
              <w:t>85.27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10,039,578.08</w:t>
            </w:r>
          </w:p>
        </w:tc>
        <w:tc>
          <w:tcPr>
            <w:tcW w:w="1749" w:type="dxa"/>
            <w:shd w:val="clear" w:color="auto" w:fill="auto"/>
            <w:vAlign w:val="center"/>
          </w:tcPr>
          <w:p>
            <w:pPr>
              <w:jc w:val="right"/>
            </w:pPr>
            <w:r>
              <w:t>5.92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14,003,016.76</w:t>
            </w:r>
          </w:p>
        </w:tc>
        <w:tc>
          <w:tcPr>
            <w:tcW w:w="1749" w:type="dxa"/>
            <w:shd w:val="clear" w:color="auto" w:fill="auto"/>
            <w:vAlign w:val="center"/>
          </w:tcPr>
          <w:p>
            <w:pPr>
              <w:jc w:val="right"/>
            </w:pPr>
            <w:r>
              <w:t>8.26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911,945.03</w:t>
            </w:r>
          </w:p>
        </w:tc>
        <w:tc>
          <w:tcPr>
            <w:tcW w:w="1749" w:type="dxa"/>
            <w:shd w:val="clear" w:color="auto" w:fill="auto"/>
            <w:vAlign w:val="center"/>
          </w:tcPr>
          <w:p>
            <w:pPr>
              <w:jc w:val="right"/>
            </w:pPr>
            <w:r>
              <w:t>0.54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5,435.11</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169,454,077.56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14,003,016.76</w:t>
            </w:r>
          </w:p>
        </w:tc>
        <w:tc>
          <w:tcPr>
            <w:tcW w:w="2431" w:type="dxa"/>
            <w:shd w:val="clear" w:color="auto" w:fill="auto"/>
            <w:vAlign w:val="center"/>
          </w:tcPr>
          <w:p>
            <w:pPr>
              <w:jc w:val="right"/>
            </w:pPr>
            <w:bookmarkStart w:id="3" w:name="OLE_LINK6"/>
            <w:bookmarkEnd w:id="3"/>
            <w:bookmarkStart w:id="4" w:name="OLE_LINK5"/>
            <w:bookmarkEnd w:id="4"/>
            <w:r>
              <w:rPr>
                <w:rFonts w:hint="eastAsia"/>
              </w:rPr>
              <w:t>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12,596,400.00</w:t>
            </w:r>
          </w:p>
        </w:tc>
        <w:tc>
          <w:tcPr>
            <w:tcW w:w="2431" w:type="dxa"/>
            <w:shd w:val="clear" w:color="auto" w:fill="auto"/>
            <w:vAlign w:val="center"/>
          </w:tcPr>
          <w:p>
            <w:pPr>
              <w:ind w:hanging="1"/>
              <w:jc w:val="right"/>
            </w:pPr>
            <w:r>
              <w:rPr>
                <w:rFonts w:hint="eastAsia"/>
                <w:b w:val="0"/>
                <w:i w:val="0"/>
                <w:strike w:val="0"/>
                <w:u w:val="none"/>
              </w:rPr>
              <w:t>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10,533,917.81</w:t>
            </w:r>
          </w:p>
        </w:tc>
        <w:tc>
          <w:tcPr>
            <w:tcW w:w="2431" w:type="dxa"/>
            <w:shd w:val="clear" w:color="auto" w:fill="auto"/>
            <w:vAlign w:val="center"/>
          </w:tcPr>
          <w:p>
            <w:pPr>
              <w:ind w:hanging="1"/>
              <w:jc w:val="right"/>
            </w:pPr>
            <w:r>
              <w:rPr>
                <w:rFonts w:hint="eastAsia"/>
                <w:b w:val="0"/>
                <w:i w:val="0"/>
                <w:strike w:val="0"/>
                <w:u w:val="none"/>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22温国01</w:t>
            </w:r>
          </w:p>
        </w:tc>
        <w:tc>
          <w:tcPr>
            <w:tcW w:w="2693" w:type="dxa"/>
            <w:shd w:val="clear" w:color="auto" w:fill="auto"/>
            <w:vAlign w:val="center"/>
          </w:tcPr>
          <w:p>
            <w:pPr>
              <w:ind w:hanging="1"/>
              <w:jc w:val="right"/>
            </w:pPr>
            <w:r>
              <w:rPr>
                <w:b w:val="0"/>
                <w:i w:val="0"/>
                <w:strike w:val="0"/>
                <w:u w:val="none"/>
              </w:rPr>
              <w:t>10,369,506.85</w:t>
            </w:r>
          </w:p>
        </w:tc>
        <w:tc>
          <w:tcPr>
            <w:tcW w:w="2431" w:type="dxa"/>
            <w:shd w:val="clear" w:color="auto" w:fill="auto"/>
            <w:vAlign w:val="center"/>
          </w:tcPr>
          <w:p>
            <w:pPr>
              <w:ind w:hanging="1"/>
              <w:jc w:val="right"/>
            </w:pPr>
            <w:r>
              <w:rPr>
                <w:rFonts w:hint="eastAsia"/>
                <w:b w:val="0"/>
                <w:i w:val="0"/>
                <w:strike w:val="0"/>
                <w:u w:val="none"/>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pPr>
              <w:ind w:hanging="1"/>
              <w:jc w:val="right"/>
            </w:pPr>
            <w:r>
              <w:rPr>
                <w:b w:val="0"/>
                <w:i w:val="0"/>
                <w:strike w:val="0"/>
                <w:u w:val="none"/>
              </w:rPr>
              <w:t>10,363,780.82</w:t>
            </w:r>
          </w:p>
        </w:tc>
        <w:tc>
          <w:tcPr>
            <w:tcW w:w="2431" w:type="dxa"/>
            <w:shd w:val="clear" w:color="auto" w:fill="auto"/>
            <w:vAlign w:val="center"/>
          </w:tcPr>
          <w:p>
            <w:pPr>
              <w:ind w:hanging="1"/>
              <w:jc w:val="right"/>
            </w:pPr>
            <w:r>
              <w:rPr>
                <w:rFonts w:hint="eastAsia"/>
                <w:b w:val="0"/>
                <w:i w:val="0"/>
                <w:strike w:val="0"/>
                <w:u w:val="none"/>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20香城投资MTN002</w:t>
            </w:r>
          </w:p>
        </w:tc>
        <w:tc>
          <w:tcPr>
            <w:tcW w:w="2693" w:type="dxa"/>
            <w:shd w:val="clear" w:color="auto" w:fill="auto"/>
            <w:vAlign w:val="center"/>
          </w:tcPr>
          <w:p>
            <w:pPr>
              <w:ind w:hanging="1"/>
              <w:jc w:val="right"/>
            </w:pPr>
            <w:r>
              <w:rPr>
                <w:b w:val="0"/>
                <w:i w:val="0"/>
                <w:strike w:val="0"/>
                <w:u w:val="none"/>
              </w:rPr>
              <w:t>10,331,054.79</w:t>
            </w:r>
          </w:p>
        </w:tc>
        <w:tc>
          <w:tcPr>
            <w:tcW w:w="2431" w:type="dxa"/>
            <w:shd w:val="clear" w:color="auto" w:fill="auto"/>
            <w:vAlign w:val="center"/>
          </w:tcPr>
          <w:p>
            <w:pPr>
              <w:ind w:hanging="1"/>
              <w:jc w:val="right"/>
            </w:pPr>
            <w:r>
              <w:rPr>
                <w:rFonts w:hint="eastAsia"/>
                <w:b w:val="0"/>
                <w:i w:val="0"/>
                <w:strike w:val="0"/>
                <w:u w:val="none"/>
              </w:rPr>
              <w:t>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10,144,273.97</w:t>
            </w:r>
          </w:p>
        </w:tc>
        <w:tc>
          <w:tcPr>
            <w:tcW w:w="2431" w:type="dxa"/>
            <w:shd w:val="clear" w:color="auto" w:fill="auto"/>
            <w:vAlign w:val="center"/>
          </w:tcPr>
          <w:p>
            <w:pPr>
              <w:ind w:hanging="1"/>
              <w:jc w:val="right"/>
            </w:pPr>
            <w:r>
              <w:rPr>
                <w:rFonts w:hint="eastAsia"/>
                <w:b w:val="0"/>
                <w:i w:val="0"/>
                <w:strike w:val="0"/>
                <w:u w:val="none"/>
              </w:rPr>
              <w:t>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泸租03A2</w:t>
            </w:r>
          </w:p>
        </w:tc>
        <w:tc>
          <w:tcPr>
            <w:tcW w:w="2693" w:type="dxa"/>
            <w:shd w:val="clear" w:color="auto" w:fill="auto"/>
            <w:vAlign w:val="center"/>
          </w:tcPr>
          <w:p>
            <w:pPr>
              <w:ind w:hanging="1"/>
              <w:jc w:val="right"/>
            </w:pPr>
            <w:r>
              <w:rPr>
                <w:b w:val="0"/>
                <w:i w:val="0"/>
                <w:strike w:val="0"/>
                <w:u w:val="none"/>
              </w:rPr>
              <w:t>10,039,578.08</w:t>
            </w:r>
          </w:p>
        </w:tc>
        <w:tc>
          <w:tcPr>
            <w:tcW w:w="2431" w:type="dxa"/>
            <w:shd w:val="clear" w:color="auto" w:fill="auto"/>
            <w:vAlign w:val="center"/>
          </w:tcPr>
          <w:p>
            <w:pPr>
              <w:ind w:hanging="1"/>
              <w:jc w:val="right"/>
            </w:pPr>
            <w:r>
              <w:rPr>
                <w:rFonts w:hint="eastAsia"/>
                <w:b w:val="0"/>
                <w:i w:val="0"/>
                <w:strike w:val="0"/>
                <w:u w:val="none"/>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25吉林银行CD075</w:t>
            </w:r>
          </w:p>
        </w:tc>
        <w:tc>
          <w:tcPr>
            <w:tcW w:w="2693" w:type="dxa"/>
            <w:shd w:val="clear" w:color="auto" w:fill="auto"/>
            <w:vAlign w:val="center"/>
          </w:tcPr>
          <w:p>
            <w:pPr>
              <w:ind w:hanging="1"/>
              <w:jc w:val="right"/>
            </w:pPr>
            <w:r>
              <w:rPr>
                <w:b w:val="0"/>
                <w:i w:val="0"/>
                <w:strike w:val="0"/>
                <w:u w:val="none"/>
              </w:rPr>
              <w:t>9,980,733.70</w:t>
            </w:r>
          </w:p>
        </w:tc>
        <w:tc>
          <w:tcPr>
            <w:tcW w:w="2431" w:type="dxa"/>
            <w:shd w:val="clear" w:color="auto" w:fill="auto"/>
            <w:vAlign w:val="center"/>
          </w:tcPr>
          <w:p>
            <w:pPr>
              <w:ind w:hanging="1"/>
              <w:jc w:val="right"/>
            </w:pPr>
            <w:r>
              <w:rPr>
                <w:rFonts w:hint="eastAsia"/>
                <w:b w:val="0"/>
                <w:i w:val="0"/>
                <w:strike w:val="0"/>
                <w:u w:val="none"/>
              </w:rPr>
              <w:t>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24乌鲁木齐银行CD137</w:t>
            </w:r>
          </w:p>
        </w:tc>
        <w:tc>
          <w:tcPr>
            <w:tcW w:w="2693" w:type="dxa"/>
            <w:shd w:val="clear" w:color="auto" w:fill="auto"/>
            <w:vAlign w:val="center"/>
          </w:tcPr>
          <w:p>
            <w:pPr>
              <w:ind w:hanging="1"/>
              <w:jc w:val="right"/>
            </w:pPr>
            <w:r>
              <w:rPr>
                <w:b w:val="0"/>
                <w:i w:val="0"/>
                <w:strike w:val="0"/>
                <w:u w:val="none"/>
              </w:rPr>
              <w:t>9,976,811.84</w:t>
            </w:r>
          </w:p>
        </w:tc>
        <w:tc>
          <w:tcPr>
            <w:tcW w:w="2431" w:type="dxa"/>
            <w:shd w:val="clear" w:color="auto" w:fill="auto"/>
            <w:vAlign w:val="center"/>
          </w:tcPr>
          <w:p>
            <w:pPr>
              <w:ind w:hanging="1"/>
              <w:jc w:val="right"/>
            </w:pPr>
            <w:r>
              <w:rPr>
                <w:rFonts w:hint="eastAsia"/>
                <w:b w:val="0"/>
                <w:i w:val="0"/>
                <w:strike w:val="0"/>
                <w:u w:val="none"/>
              </w:rPr>
              <w:t>5.97</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25C2DFC"/>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2025-07-10T07:11:06Z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