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四川银行定开系列6个月14号净值型理财产品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234,255,100.00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11.29</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2,087,541.06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2,980,770.25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235,655,817.14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rPr>
                <w:rFonts w:hint="eastAsia" w:eastAsia="宋体"/>
                <w:lang w:val="en-US" w:eastAsia="zh-CN"/>
              </w:rPr>
            </w:pPr>
            <w:r>
              <w:rPr>
                <w:b w:val="0"/>
                <w:i w:val="0"/>
                <w:strike w:val="0"/>
                <w:u w:val="none"/>
              </w:rPr>
              <w:t>1.006</w:t>
            </w:r>
            <w:r>
              <w:rPr>
                <w:rFonts w:hint="eastAsia"/>
                <w:b w:val="0"/>
                <w:i w:val="0"/>
                <w:strike w:val="0"/>
                <w:u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235,655,817.14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1.1129</w:t>
            </w:r>
          </w:p>
        </w:tc>
      </w:tr>
    </w:tbl>
    <w:p>
      <w:pPr>
        <w:tabs>
          <w:tab w:val="left" w:pos="3135"/>
        </w:tabs>
        <w:ind w:left="420" w:leftChars="200"/>
      </w:pPr>
    </w:p>
    <w:p>
      <w:pPr>
        <w:pStyle w:val="40"/>
      </w:pPr>
      <w:r>
        <w:rPr>
          <w:rFonts w:hint="eastAsia"/>
        </w:rPr>
        <w:t>投资组合情况及</w:t>
      </w:r>
      <w:r>
        <w:t>流动性风险分析</w:t>
      </w:r>
      <w:bookmarkStart w:id="5" w:name="_GoBack"/>
      <w:bookmarkEnd w:id="5"/>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215,009,970.58</w:t>
            </w:r>
          </w:p>
        </w:tc>
        <w:tc>
          <w:tcPr>
            <w:tcW w:w="1749" w:type="dxa"/>
            <w:shd w:val="clear" w:color="auto" w:fill="auto"/>
            <w:vAlign w:val="center"/>
          </w:tcPr>
          <w:p>
            <w:pPr>
              <w:jc w:val="right"/>
            </w:pPr>
            <w:r>
              <w:t>90.21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205,239,342.78</w:t>
            </w:r>
          </w:p>
        </w:tc>
        <w:tc>
          <w:tcPr>
            <w:tcW w:w="1749" w:type="dxa"/>
            <w:shd w:val="clear" w:color="auto" w:fill="auto"/>
            <w:vAlign w:val="center"/>
          </w:tcPr>
          <w:p>
            <w:pPr>
              <w:jc w:val="right"/>
            </w:pPr>
            <w:r>
              <w:t>86.11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9,770,627.80</w:t>
            </w:r>
          </w:p>
        </w:tc>
        <w:tc>
          <w:tcPr>
            <w:tcW w:w="1749" w:type="dxa"/>
            <w:shd w:val="clear" w:color="auto" w:fill="auto"/>
            <w:vAlign w:val="center"/>
          </w:tcPr>
          <w:p>
            <w:pPr>
              <w:jc w:val="right"/>
            </w:pPr>
            <w:r>
              <w:t>4.10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21,004,525.16</w:t>
            </w:r>
          </w:p>
        </w:tc>
        <w:tc>
          <w:tcPr>
            <w:tcW w:w="1749" w:type="dxa"/>
            <w:shd w:val="clear" w:color="auto" w:fill="auto"/>
            <w:vAlign w:val="center"/>
          </w:tcPr>
          <w:p>
            <w:pPr>
              <w:jc w:val="right"/>
            </w:pPr>
            <w:r>
              <w:t>8.81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2,217,598.52</w:t>
            </w:r>
          </w:p>
        </w:tc>
        <w:tc>
          <w:tcPr>
            <w:tcW w:w="1749" w:type="dxa"/>
            <w:shd w:val="clear" w:color="auto" w:fill="auto"/>
            <w:vAlign w:val="center"/>
          </w:tcPr>
          <w:p>
            <w:pPr>
              <w:jc w:val="right"/>
            </w:pPr>
            <w:r>
              <w:t>0.93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112,040.72</w:t>
            </w:r>
          </w:p>
        </w:tc>
        <w:tc>
          <w:tcPr>
            <w:tcW w:w="1749" w:type="dxa"/>
            <w:shd w:val="clear" w:color="auto" w:fill="auto"/>
            <w:vAlign w:val="center"/>
          </w:tcPr>
          <w:p>
            <w:pPr>
              <w:jc w:val="right"/>
            </w:pPr>
            <w:r>
              <w:t>0.05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238,344,134.98</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21,004,525.16</w:t>
            </w:r>
          </w:p>
        </w:tc>
        <w:tc>
          <w:tcPr>
            <w:tcW w:w="2431" w:type="dxa"/>
            <w:shd w:val="clear" w:color="auto" w:fill="auto"/>
            <w:vAlign w:val="center"/>
          </w:tcPr>
          <w:p>
            <w:pPr>
              <w:jc w:val="right"/>
            </w:pPr>
            <w:bookmarkStart w:id="3" w:name="OLE_LINK6"/>
            <w:bookmarkEnd w:id="3"/>
            <w:bookmarkStart w:id="4" w:name="OLE_LINK5"/>
            <w:bookmarkEnd w:id="4"/>
            <w:r>
              <w:rPr>
                <w:rFonts w:hint="eastAsia"/>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25绵兴02</w:t>
            </w:r>
          </w:p>
        </w:tc>
        <w:tc>
          <w:tcPr>
            <w:tcW w:w="2693" w:type="dxa"/>
            <w:shd w:val="clear" w:color="auto" w:fill="auto"/>
            <w:vAlign w:val="center"/>
          </w:tcPr>
          <w:p>
            <w:pPr>
              <w:ind w:hanging="1"/>
              <w:jc w:val="right"/>
            </w:pPr>
            <w:r>
              <w:rPr>
                <w:b w:val="0"/>
                <w:i w:val="0"/>
                <w:strike w:val="0"/>
                <w:u w:val="none"/>
              </w:rPr>
              <w:t>20,334,328.77</w:t>
            </w:r>
          </w:p>
        </w:tc>
        <w:tc>
          <w:tcPr>
            <w:tcW w:w="2431" w:type="dxa"/>
            <w:shd w:val="clear" w:color="auto" w:fill="auto"/>
            <w:vAlign w:val="center"/>
          </w:tcPr>
          <w:p>
            <w:pPr>
              <w:ind w:hanging="1"/>
              <w:jc w:val="right"/>
            </w:pPr>
            <w:r>
              <w:rPr>
                <w:rFonts w:hint="eastAsia"/>
                <w:b w:val="0"/>
                <w:i w:val="0"/>
                <w:strike w:val="0"/>
                <w:u w:val="none"/>
              </w:rPr>
              <w:t>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pPr>
              <w:ind w:hanging="1"/>
              <w:jc w:val="right"/>
            </w:pPr>
            <w:r>
              <w:rPr>
                <w:b w:val="0"/>
                <w:i w:val="0"/>
                <w:strike w:val="0"/>
                <w:u w:val="none"/>
              </w:rPr>
              <w:t>19,713,049.42</w:t>
            </w:r>
          </w:p>
        </w:tc>
        <w:tc>
          <w:tcPr>
            <w:tcW w:w="2431" w:type="dxa"/>
            <w:shd w:val="clear" w:color="auto" w:fill="auto"/>
            <w:vAlign w:val="center"/>
          </w:tcPr>
          <w:p>
            <w:pPr>
              <w:ind w:hanging="1"/>
              <w:jc w:val="right"/>
            </w:pPr>
            <w:r>
              <w:rPr>
                <w:rFonts w:hint="eastAsia"/>
                <w:b w:val="0"/>
                <w:i w:val="0"/>
                <w:strike w:val="0"/>
                <w:u w:val="none"/>
              </w:rPr>
              <w:t>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25秦农农商银行CD165</w:t>
            </w:r>
          </w:p>
        </w:tc>
        <w:tc>
          <w:tcPr>
            <w:tcW w:w="2693" w:type="dxa"/>
            <w:shd w:val="clear" w:color="auto" w:fill="auto"/>
            <w:vAlign w:val="center"/>
          </w:tcPr>
          <w:p>
            <w:pPr>
              <w:ind w:hanging="1"/>
              <w:jc w:val="right"/>
            </w:pPr>
            <w:r>
              <w:rPr>
                <w:b w:val="0"/>
                <w:i w:val="0"/>
                <w:strike w:val="0"/>
                <w:u w:val="none"/>
              </w:rPr>
              <w:t>19,705,965.37</w:t>
            </w:r>
          </w:p>
        </w:tc>
        <w:tc>
          <w:tcPr>
            <w:tcW w:w="2431" w:type="dxa"/>
            <w:shd w:val="clear" w:color="auto" w:fill="auto"/>
            <w:vAlign w:val="center"/>
          </w:tcPr>
          <w:p>
            <w:pPr>
              <w:ind w:hanging="1"/>
              <w:jc w:val="right"/>
            </w:pPr>
            <w:r>
              <w:rPr>
                <w:rFonts w:hint="eastAsia"/>
                <w:b w:val="0"/>
                <w:i w:val="0"/>
                <w:strike w:val="0"/>
                <w:u w:val="none"/>
              </w:rPr>
              <w:t>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24达州03</w:t>
            </w:r>
          </w:p>
        </w:tc>
        <w:tc>
          <w:tcPr>
            <w:tcW w:w="2693" w:type="dxa"/>
            <w:shd w:val="clear" w:color="auto" w:fill="auto"/>
            <w:vAlign w:val="center"/>
          </w:tcPr>
          <w:p>
            <w:pPr>
              <w:ind w:hanging="1"/>
              <w:jc w:val="right"/>
            </w:pPr>
            <w:r>
              <w:rPr>
                <w:b w:val="0"/>
                <w:i w:val="0"/>
                <w:strike w:val="0"/>
                <w:u w:val="none"/>
              </w:rPr>
              <w:t>15,739,519.59</w:t>
            </w:r>
          </w:p>
        </w:tc>
        <w:tc>
          <w:tcPr>
            <w:tcW w:w="2431" w:type="dxa"/>
            <w:shd w:val="clear" w:color="auto" w:fill="auto"/>
            <w:vAlign w:val="center"/>
          </w:tcPr>
          <w:p>
            <w:pPr>
              <w:ind w:hanging="1"/>
              <w:jc w:val="right"/>
            </w:pPr>
            <w:r>
              <w:rPr>
                <w:rFonts w:hint="eastAsia"/>
                <w:b w:val="0"/>
                <w:i w:val="0"/>
                <w:strike w:val="0"/>
                <w:u w:val="none"/>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pPr>
              <w:ind w:hanging="1"/>
              <w:jc w:val="right"/>
            </w:pPr>
            <w:r>
              <w:rPr>
                <w:b w:val="0"/>
                <w:i w:val="0"/>
                <w:strike w:val="0"/>
                <w:u w:val="none"/>
              </w:rPr>
              <w:t>15,650,609.59</w:t>
            </w:r>
          </w:p>
        </w:tc>
        <w:tc>
          <w:tcPr>
            <w:tcW w:w="2431" w:type="dxa"/>
            <w:shd w:val="clear" w:color="auto" w:fill="auto"/>
            <w:vAlign w:val="center"/>
          </w:tcPr>
          <w:p>
            <w:pPr>
              <w:ind w:hanging="1"/>
              <w:jc w:val="right"/>
            </w:pPr>
            <w:r>
              <w:rPr>
                <w:rFonts w:hint="eastAsia"/>
                <w:b w:val="0"/>
                <w:i w:val="0"/>
                <w:strike w:val="0"/>
                <w:u w:val="none"/>
              </w:rPr>
              <w:t>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22温国01</w:t>
            </w:r>
          </w:p>
        </w:tc>
        <w:tc>
          <w:tcPr>
            <w:tcW w:w="2693" w:type="dxa"/>
            <w:shd w:val="clear" w:color="auto" w:fill="auto"/>
            <w:vAlign w:val="center"/>
          </w:tcPr>
          <w:p>
            <w:pPr>
              <w:ind w:hanging="1"/>
              <w:jc w:val="right"/>
            </w:pPr>
            <w:r>
              <w:rPr>
                <w:b w:val="0"/>
                <w:i w:val="0"/>
                <w:strike w:val="0"/>
                <w:u w:val="none"/>
              </w:rPr>
              <w:t>15,554,260.27</w:t>
            </w:r>
          </w:p>
        </w:tc>
        <w:tc>
          <w:tcPr>
            <w:tcW w:w="2431" w:type="dxa"/>
            <w:shd w:val="clear" w:color="auto" w:fill="auto"/>
            <w:vAlign w:val="center"/>
          </w:tcPr>
          <w:p>
            <w:pPr>
              <w:ind w:hanging="1"/>
              <w:jc w:val="right"/>
            </w:pPr>
            <w:r>
              <w:rPr>
                <w:rFonts w:hint="eastAsia"/>
                <w:b w:val="0"/>
                <w:i w:val="0"/>
                <w:strike w:val="0"/>
                <w:u w:val="none"/>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pPr>
              <w:ind w:hanging="1"/>
              <w:jc w:val="right"/>
            </w:pPr>
            <w:r>
              <w:rPr>
                <w:b w:val="0"/>
                <w:i w:val="0"/>
                <w:strike w:val="0"/>
                <w:u w:val="none"/>
              </w:rPr>
              <w:t>15,497,009.59</w:t>
            </w:r>
          </w:p>
        </w:tc>
        <w:tc>
          <w:tcPr>
            <w:tcW w:w="2431" w:type="dxa"/>
            <w:shd w:val="clear" w:color="auto" w:fill="auto"/>
            <w:vAlign w:val="center"/>
          </w:tcPr>
          <w:p>
            <w:pPr>
              <w:ind w:hanging="1"/>
              <w:jc w:val="right"/>
            </w:pPr>
            <w:r>
              <w:rPr>
                <w:rFonts w:hint="eastAsia"/>
                <w:b w:val="0"/>
                <w:i w:val="0"/>
                <w:strike w:val="0"/>
                <w:u w:val="none"/>
              </w:rPr>
              <w:t>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25齐鲁银行CD019</w:t>
            </w:r>
          </w:p>
        </w:tc>
        <w:tc>
          <w:tcPr>
            <w:tcW w:w="2693" w:type="dxa"/>
            <w:shd w:val="clear" w:color="auto" w:fill="auto"/>
            <w:vAlign w:val="center"/>
          </w:tcPr>
          <w:p>
            <w:pPr>
              <w:ind w:hanging="1"/>
              <w:jc w:val="right"/>
            </w:pPr>
            <w:r>
              <w:rPr>
                <w:b w:val="0"/>
                <w:i w:val="0"/>
                <w:strike w:val="0"/>
                <w:u w:val="none"/>
              </w:rPr>
              <w:t>14,962,041.63</w:t>
            </w:r>
          </w:p>
        </w:tc>
        <w:tc>
          <w:tcPr>
            <w:tcW w:w="2431" w:type="dxa"/>
            <w:shd w:val="clear" w:color="auto" w:fill="auto"/>
            <w:vAlign w:val="center"/>
          </w:tcPr>
          <w:p>
            <w:pPr>
              <w:ind w:hanging="1"/>
              <w:jc w:val="right"/>
            </w:pPr>
            <w:r>
              <w:rPr>
                <w:rFonts w:hint="eastAsia"/>
                <w:b w:val="0"/>
                <w:i w:val="0"/>
                <w:strike w:val="0"/>
                <w:u w:val="none"/>
              </w:rPr>
              <w:t>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24秦农农商银行CD295</w:t>
            </w:r>
          </w:p>
        </w:tc>
        <w:tc>
          <w:tcPr>
            <w:tcW w:w="2693" w:type="dxa"/>
            <w:shd w:val="clear" w:color="auto" w:fill="auto"/>
            <w:vAlign w:val="center"/>
          </w:tcPr>
          <w:p>
            <w:pPr>
              <w:ind w:hanging="1"/>
              <w:jc w:val="right"/>
            </w:pPr>
            <w:r>
              <w:rPr>
                <w:b w:val="0"/>
                <w:i w:val="0"/>
                <w:strike w:val="0"/>
                <w:u w:val="none"/>
              </w:rPr>
              <w:t>14,939,705.38</w:t>
            </w:r>
          </w:p>
        </w:tc>
        <w:tc>
          <w:tcPr>
            <w:tcW w:w="2431" w:type="dxa"/>
            <w:shd w:val="clear" w:color="auto" w:fill="auto"/>
            <w:vAlign w:val="center"/>
          </w:tcPr>
          <w:p>
            <w:pPr>
              <w:ind w:hanging="1"/>
              <w:jc w:val="right"/>
            </w:pPr>
            <w:r>
              <w:rPr>
                <w:rFonts w:hint="eastAsia"/>
                <w:b w:val="0"/>
                <w:i w:val="0"/>
                <w:strike w:val="0"/>
                <w:u w:val="none"/>
              </w:rPr>
              <w:t>6.34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80B26E0"/>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BAF2A50"/>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2025-07-10T07:29:32Z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