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四川银行定开系列3个月7号净值型理财产品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668,149,184.00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9.65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6,375,005.04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6,715,905.75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670,041,968.26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670,041,968.26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1.0965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556,241,893.69</w:t>
            </w:r>
          </w:p>
        </w:tc>
        <w:tc>
          <w:tcPr>
            <w:tcW w:w="1749" w:type="dxa"/>
            <w:shd w:val="clear" w:color="auto" w:fill="auto"/>
            <w:vAlign w:val="center"/>
          </w:tcPr>
          <w:p>
            <w:pPr>
              <w:jc w:val="right"/>
            </w:pPr>
            <w:r>
              <w:t>82.48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556,241,893.69</w:t>
            </w:r>
          </w:p>
        </w:tc>
        <w:tc>
          <w:tcPr>
            <w:tcW w:w="1749" w:type="dxa"/>
            <w:shd w:val="clear" w:color="auto" w:fill="auto"/>
            <w:vAlign w:val="center"/>
          </w:tcPr>
          <w:p>
            <w:pPr>
              <w:jc w:val="right"/>
            </w:pPr>
            <w:r>
              <w:t>82.48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83,025,426.12</w:t>
            </w:r>
          </w:p>
        </w:tc>
        <w:tc>
          <w:tcPr>
            <w:tcW w:w="1749" w:type="dxa"/>
            <w:shd w:val="clear" w:color="auto" w:fill="auto"/>
            <w:vAlign w:val="center"/>
          </w:tcPr>
          <w:p>
            <w:pPr>
              <w:jc w:val="right"/>
            </w:pPr>
            <w:r>
              <w:t>12.31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35,016,090.31</w:t>
            </w:r>
          </w:p>
        </w:tc>
        <w:tc>
          <w:tcPr>
            <w:tcW w:w="1749" w:type="dxa"/>
            <w:shd w:val="clear" w:color="auto" w:fill="auto"/>
            <w:vAlign w:val="center"/>
          </w:tcPr>
          <w:p>
            <w:pPr>
              <w:jc w:val="right"/>
            </w:pPr>
            <w:r>
              <w:t>5.19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97,736.93</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674,381,147.05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83,025,426.12</w:t>
            </w:r>
          </w:p>
        </w:tc>
        <w:tc>
          <w:tcPr>
            <w:tcW w:w="2431" w:type="dxa"/>
            <w:shd w:val="clear" w:color="auto" w:fill="auto"/>
            <w:vAlign w:val="center"/>
          </w:tcPr>
          <w:p>
            <w:pPr>
              <w:jc w:val="right"/>
            </w:pPr>
            <w:bookmarkStart w:id="3" w:name="OLE_LINK6"/>
            <w:bookmarkEnd w:id="3"/>
            <w:bookmarkStart w:id="4" w:name="OLE_LINK5"/>
            <w:bookmarkEnd w:id="4"/>
            <w:r>
              <w:rPr>
                <w:rFonts w:hint="eastAsia"/>
              </w:rPr>
              <w:t>12.39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22彭城建</w:t>
            </w:r>
          </w:p>
        </w:tc>
        <w:tc>
          <w:tcPr>
            <w:tcW w:w="2693" w:type="dxa"/>
            <w:shd w:val="clear" w:color="auto" w:fill="auto"/>
            <w:vAlign w:val="center"/>
          </w:tcPr>
          <w:p>
            <w:pPr>
              <w:ind w:hanging="1"/>
              <w:jc w:val="right"/>
            </w:pPr>
            <w:r>
              <w:rPr>
                <w:b w:val="0"/>
                <w:i w:val="0"/>
                <w:strike w:val="0"/>
                <w:u w:val="none"/>
              </w:rPr>
              <w:t>52,422,273.98</w:t>
            </w:r>
          </w:p>
        </w:tc>
        <w:tc>
          <w:tcPr>
            <w:tcW w:w="2431" w:type="dxa"/>
            <w:shd w:val="clear" w:color="auto" w:fill="auto"/>
            <w:vAlign w:val="center"/>
          </w:tcPr>
          <w:p>
            <w:pPr>
              <w:ind w:hanging="1"/>
              <w:jc w:val="right"/>
            </w:pPr>
            <w:r>
              <w:rPr>
                <w:rFonts w:hint="eastAsia"/>
                <w:b w:val="0"/>
                <w:i w:val="0"/>
                <w:strike w:val="0"/>
                <w:u w:val="none"/>
              </w:rPr>
              <w:t>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30,405,090.41</w:t>
            </w:r>
          </w:p>
        </w:tc>
        <w:tc>
          <w:tcPr>
            <w:tcW w:w="2431" w:type="dxa"/>
            <w:shd w:val="clear" w:color="auto" w:fill="auto"/>
            <w:vAlign w:val="center"/>
          </w:tcPr>
          <w:p>
            <w:pPr>
              <w:ind w:hanging="1"/>
              <w:jc w:val="right"/>
            </w:pPr>
            <w:r>
              <w:rPr>
                <w:rFonts w:hint="eastAsia"/>
                <w:b w:val="0"/>
                <w:i w:val="0"/>
                <w:strike w:val="0"/>
                <w:u w:val="none"/>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24,312,164.38</w:t>
            </w:r>
          </w:p>
        </w:tc>
        <w:tc>
          <w:tcPr>
            <w:tcW w:w="2431" w:type="dxa"/>
            <w:shd w:val="clear" w:color="auto" w:fill="auto"/>
            <w:vAlign w:val="center"/>
          </w:tcPr>
          <w:p>
            <w:pPr>
              <w:ind w:hanging="1"/>
              <w:jc w:val="right"/>
            </w:pPr>
            <w:r>
              <w:rPr>
                <w:rFonts w:hint="eastAsia"/>
                <w:b w:val="0"/>
                <w:i w:val="0"/>
                <w:strike w:val="0"/>
                <w:u w:val="none"/>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24乌鲁木齐银行CD137</w:t>
            </w:r>
          </w:p>
        </w:tc>
        <w:tc>
          <w:tcPr>
            <w:tcW w:w="2693" w:type="dxa"/>
            <w:shd w:val="clear" w:color="auto" w:fill="auto"/>
            <w:vAlign w:val="center"/>
          </w:tcPr>
          <w:p>
            <w:pPr>
              <w:ind w:hanging="1"/>
              <w:jc w:val="right"/>
            </w:pPr>
            <w:r>
              <w:rPr>
                <w:b w:val="0"/>
                <w:i w:val="0"/>
                <w:strike w:val="0"/>
                <w:u w:val="none"/>
              </w:rPr>
              <w:t>22,946,667.22</w:t>
            </w:r>
          </w:p>
        </w:tc>
        <w:tc>
          <w:tcPr>
            <w:tcW w:w="2431" w:type="dxa"/>
            <w:shd w:val="clear" w:color="auto" w:fill="auto"/>
            <w:vAlign w:val="center"/>
          </w:tcPr>
          <w:p>
            <w:pPr>
              <w:ind w:hanging="1"/>
              <w:jc w:val="right"/>
            </w:pPr>
            <w:r>
              <w:rPr>
                <w:rFonts w:hint="eastAsia"/>
                <w:b w:val="0"/>
                <w:i w:val="0"/>
                <w:strike w:val="0"/>
                <w:u w:val="none"/>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21,638,219.18</w:t>
            </w:r>
          </w:p>
        </w:tc>
        <w:tc>
          <w:tcPr>
            <w:tcW w:w="2431" w:type="dxa"/>
            <w:shd w:val="clear" w:color="auto" w:fill="auto"/>
            <w:vAlign w:val="center"/>
          </w:tcPr>
          <w:p>
            <w:pPr>
              <w:ind w:hanging="1"/>
              <w:jc w:val="right"/>
            </w:pPr>
            <w:r>
              <w:rPr>
                <w:rFonts w:hint="eastAsia"/>
                <w:b w:val="0"/>
                <w:i w:val="0"/>
                <w:strike w:val="0"/>
                <w:u w:val="non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pPr>
              <w:ind w:hanging="1"/>
              <w:jc w:val="right"/>
            </w:pPr>
            <w:r>
              <w:rPr>
                <w:b w:val="0"/>
                <w:i w:val="0"/>
                <w:strike w:val="0"/>
                <w:u w:val="none"/>
              </w:rPr>
              <w:t>21,029,863.01</w:t>
            </w:r>
          </w:p>
        </w:tc>
        <w:tc>
          <w:tcPr>
            <w:tcW w:w="2431" w:type="dxa"/>
            <w:shd w:val="clear" w:color="auto" w:fill="auto"/>
            <w:vAlign w:val="center"/>
          </w:tcPr>
          <w:p>
            <w:pPr>
              <w:ind w:hanging="1"/>
              <w:jc w:val="right"/>
            </w:pPr>
            <w:r>
              <w:rPr>
                <w:rFonts w:hint="eastAsia"/>
                <w:b w:val="0"/>
                <w:i w:val="0"/>
                <w:strike w:val="0"/>
                <w:u w:val="none"/>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pPr>
              <w:ind w:hanging="1"/>
              <w:jc w:val="right"/>
            </w:pPr>
            <w:r>
              <w:rPr>
                <w:b w:val="0"/>
                <w:i w:val="0"/>
                <w:strike w:val="0"/>
                <w:u w:val="none"/>
              </w:rPr>
              <w:t>19,880,179.35</w:t>
            </w:r>
          </w:p>
        </w:tc>
        <w:tc>
          <w:tcPr>
            <w:tcW w:w="2431" w:type="dxa"/>
            <w:shd w:val="clear" w:color="auto" w:fill="auto"/>
            <w:vAlign w:val="center"/>
          </w:tcPr>
          <w:p>
            <w:pPr>
              <w:ind w:hanging="1"/>
              <w:jc w:val="right"/>
            </w:pPr>
            <w:r>
              <w:rPr>
                <w:rFonts w:hint="eastAsia"/>
                <w:b w:val="0"/>
                <w:i w:val="0"/>
                <w:strike w:val="0"/>
                <w:u w:val="none"/>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19,762,831.56</w:t>
            </w:r>
          </w:p>
        </w:tc>
        <w:tc>
          <w:tcPr>
            <w:tcW w:w="2431" w:type="dxa"/>
            <w:shd w:val="clear" w:color="auto" w:fill="auto"/>
            <w:vAlign w:val="center"/>
          </w:tcPr>
          <w:p>
            <w:pPr>
              <w:ind w:hanging="1"/>
              <w:jc w:val="right"/>
            </w:pPr>
            <w:r>
              <w:rPr>
                <w:rFonts w:hint="eastAsia"/>
                <w:b w:val="0"/>
                <w:i w:val="0"/>
                <w:strike w:val="0"/>
                <w:u w:val="none"/>
              </w:rPr>
              <w:t>2.95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DC04CEE"/>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2025-07-10T07:03:34Z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