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四川银行定开系列3个月6号净值型理财产品</w:t>
      </w:r>
    </w:p>
    <w:p>
      <w:pPr>
        <w:jc w:val="center"/>
        <w:rPr>
          <w:rFonts w:ascii="宋体" w:hAnsi="宋体"/>
          <w:b/>
          <w:bCs/>
          <w:sz w:val="48"/>
          <w:szCs w:val="30"/>
        </w:rPr>
      </w:pPr>
      <w:r>
        <w:rPr>
          <w:rFonts w:ascii="宋体" w:hAnsi="宋体"/>
          <w:b/>
          <w:bCs/>
          <w:sz w:val="48"/>
          <w:szCs w:val="30"/>
        </w:rPr>
        <w:t>2025年半年度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自2025-01-01起至2025-06-30</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产品名称</w:t>
            </w:r>
          </w:p>
        </w:tc>
        <w:tc>
          <w:tcPr>
            <w:tcW w:w="5027" w:type="dxa"/>
            <w:vAlign w:val="center"/>
          </w:tcPr>
          <w:p>
            <w:pPr>
              <w:jc w:val="left"/>
              <w:rPr>
                <w:rFonts w:hint="eastAsia" w:ascii="宋体" w:hAnsi="宋体"/>
              </w:rPr>
            </w:pPr>
            <w:r>
              <w:rPr>
                <w:rFonts w:hint="eastAsia" w:ascii="宋体" w:hAnsi="宋体"/>
              </w:rPr>
              <w:t>四川银行定开系列3个月6号净值型理财产品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产品登记编码</w:t>
            </w:r>
          </w:p>
        </w:tc>
        <w:tc>
          <w:tcPr>
            <w:tcW w:w="5027" w:type="dxa"/>
            <w:vAlign w:val="center"/>
          </w:tcPr>
          <w:p>
            <w:pPr>
              <w:jc w:val="left"/>
              <w:rPr>
                <w:rFonts w:hint="eastAsia" w:ascii="宋体" w:hAnsi="宋体"/>
              </w:rPr>
            </w:pPr>
            <w:r>
              <w:rPr>
                <w:rFonts w:hint="eastAsia" w:ascii="宋体" w:hAnsi="宋体"/>
              </w:rPr>
              <w:t>C1438122000021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产品管理人</w:t>
            </w:r>
          </w:p>
        </w:tc>
        <w:tc>
          <w:tcPr>
            <w:tcW w:w="5027" w:type="dxa"/>
            <w:vAlign w:val="center"/>
          </w:tcPr>
          <w:p>
            <w:pPr>
              <w:jc w:val="left"/>
              <w:rPr>
                <w:rFonts w:hint="eastAsia"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产品托管人</w:t>
            </w:r>
          </w:p>
        </w:tc>
        <w:tc>
          <w:tcPr>
            <w:tcW w:w="5027" w:type="dxa"/>
            <w:vAlign w:val="center"/>
          </w:tcPr>
          <w:p>
            <w:pPr>
              <w:jc w:val="left"/>
              <w:rPr>
                <w:rFonts w:hint="eastAsia" w:ascii="宋体" w:hAnsi="宋体"/>
              </w:rPr>
            </w:pPr>
            <w:r>
              <w:rPr>
                <w:rFonts w:hint="eastAsia"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产品运作方式</w:t>
            </w:r>
          </w:p>
        </w:tc>
        <w:tc>
          <w:tcPr>
            <w:tcW w:w="5027" w:type="dxa"/>
            <w:vAlign w:val="center"/>
          </w:tcPr>
          <w:p>
            <w:pPr>
              <w:jc w:val="left"/>
              <w:rPr>
                <w:rFonts w:hint="eastAsia" w:ascii="宋体" w:hAnsi="宋体"/>
              </w:rPr>
            </w:pPr>
            <w:r>
              <w:rPr>
                <w:rFonts w:hint="eastAsia"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产品成立日</w:t>
            </w:r>
          </w:p>
        </w:tc>
        <w:tc>
          <w:tcPr>
            <w:tcW w:w="5027" w:type="dxa"/>
            <w:vAlign w:val="center"/>
          </w:tcPr>
          <w:p>
            <w:pPr>
              <w:jc w:val="left"/>
              <w:rPr>
                <w:rFonts w:hint="eastAsia" w:ascii="宋体" w:hAnsi="宋体"/>
              </w:rPr>
            </w:pPr>
            <w:r>
              <w:rPr>
                <w:rFonts w:hint="eastAsia" w:ascii="宋体" w:hAnsi="宋体"/>
              </w:rPr>
              <w:t>2022-05-12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产品到期日</w:t>
            </w:r>
          </w:p>
        </w:tc>
        <w:tc>
          <w:tcPr>
            <w:tcW w:w="5027" w:type="dxa"/>
            <w:vAlign w:val="center"/>
          </w:tcPr>
          <w:p>
            <w:pPr>
              <w:jc w:val="left"/>
              <w:rPr>
                <w:rFonts w:hint="eastAsia"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jc w:val="left"/>
              <w:rPr>
                <w:rFonts w:hint="eastAsia" w:ascii="宋体" w:hAnsi="宋体"/>
                <w:szCs w:val="21"/>
              </w:rPr>
            </w:pPr>
            <w:r>
              <w:rPr>
                <w:rFonts w:hint="eastAsia" w:ascii="宋体" w:hAnsi="宋体"/>
                <w:szCs w:val="21"/>
              </w:rPr>
              <w:t>报告期末产品份额总额</w:t>
            </w:r>
          </w:p>
        </w:tc>
        <w:tc>
          <w:tcPr>
            <w:tcW w:w="5027" w:type="dxa"/>
            <w:vAlign w:val="center"/>
          </w:tcPr>
          <w:p>
            <w:pPr>
              <w:jc w:val="left"/>
              <w:rPr>
                <w:rFonts w:hint="eastAsia" w:ascii="宋体" w:hAnsi="宋体"/>
              </w:rPr>
            </w:pPr>
            <w:bookmarkStart w:id="0" w:name="OLE_LINK1"/>
            <w:r>
              <w:rPr>
                <w:rFonts w:hint="eastAsia" w:ascii="宋体" w:hAnsi="宋体"/>
              </w:rPr>
              <w:t>578,362,200.00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业绩比较基准（如有）</w:t>
            </w:r>
          </w:p>
        </w:tc>
        <w:tc>
          <w:tcPr>
            <w:tcW w:w="5027" w:type="dxa"/>
            <w:vAlign w:val="center"/>
          </w:tcPr>
          <w:p>
            <w:pPr>
              <w:jc w:val="left"/>
              <w:rPr>
                <w:rFonts w:hint="eastAsia" w:ascii="宋体" w:hAnsi="宋体"/>
              </w:rPr>
            </w:pPr>
            <w:r>
              <w:rPr>
                <w:rFonts w:hint="eastAsia" w:ascii="宋体" w:hAnsi="宋体"/>
              </w:rPr>
              <w:t>[2.2%-3.2%]/年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pPr>
              <w:jc w:val="left"/>
              <w:rPr>
                <w:rFonts w:hint="eastAsia" w:ascii="宋体" w:hAnsi="宋体"/>
              </w:rPr>
            </w:pPr>
            <w:r>
              <w:rPr>
                <w:rFonts w:hint="eastAsia" w:ascii="宋体" w:hAnsi="宋体"/>
                <w:lang w:val="en-US" w:eastAsia="zh-CN"/>
              </w:rPr>
              <w:t>100.79%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pPr>
              <w:jc w:val="left"/>
              <w:rPr>
                <w:rFonts w:hint="eastAsia" w:ascii="宋体" w:hAnsi="宋体"/>
                <w:lang w:val="en-US" w:eastAsia="zh-CN"/>
              </w:rPr>
            </w:pPr>
            <w:r>
              <w:rPr>
                <w:rFonts w:hint="eastAsia"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hint="eastAsia" w:ascii="宋体" w:hAnsi="宋体"/>
                <w:lang w:val="en-US" w:eastAsia="zh-CN"/>
              </w:rPr>
            </w:pPr>
            <w:r>
              <w:rPr>
                <w:rFonts w:hint="eastAsia" w:ascii="宋体" w:hAnsi="宋体"/>
              </w:rPr>
              <w:t>四川银行-四川银行定开系列3个月6号净值型理财产品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hint="eastAsia" w:ascii="宋体" w:hAnsi="宋体"/>
                <w:lang w:val="en-US" w:eastAsia="zh-CN"/>
              </w:rPr>
            </w:pPr>
            <w:r>
              <w:rPr>
                <w:rFonts w:hint="eastAsia" w:ascii="宋体" w:hAnsi="宋体"/>
              </w:rPr>
              <w:t>128912158810130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pPr>
              <w:jc w:val="left"/>
              <w:rPr>
                <w:rFonts w:hint="eastAsia"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b/>
              </w:rPr>
              <w:t>净值增长率</w:t>
            </w:r>
            <w:r>
              <w:rPr>
                <w:rFonts w:hint="eastAsia"/>
                <w: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2025-01-01</w:t>
            </w:r>
            <w:r>
              <w:rPr>
                <w:rFonts w:hint="eastAsia" w:ascii="宋体" w:hAnsi="宋体"/>
              </w:rPr>
              <w:t>至</w:t>
            </w:r>
            <w:r>
              <w:rPr>
                <w:rFonts w:ascii="宋体" w:hAnsi="宋体"/>
              </w:rPr>
              <w:t>2025-06-30</w:t>
            </w:r>
            <w:r>
              <w:rPr>
                <w:rFonts w:hint="eastAsia" w:ascii="宋体" w:hAnsi="宋体"/>
              </w:rPr>
              <w:t>）</w:t>
            </w:r>
          </w:p>
        </w:tc>
        <w:tc>
          <w:tcPr>
            <w:tcW w:w="5103" w:type="dxa"/>
            <w:vAlign w:val="center"/>
          </w:tcPr>
          <w:p>
            <w:pPr>
              <w:jc w:val="right"/>
            </w:pPr>
            <w:r>
              <w:t>1.07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t>9.72</w:t>
            </w:r>
            <w:bookmarkStart w:id="1" w:name="OLE_LINK7"/>
            <w:bookmarkEnd w:id="1"/>
            <w:bookmarkStart w:id="2" w:name="OLE_LINK4"/>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2025-01-01</w:t>
            </w:r>
            <w:r>
              <w:rPr>
                <w:rFonts w:hint="eastAsia"/>
                <w:b/>
              </w:rPr>
              <w:t xml:space="preserve">至 </w:t>
            </w:r>
            <w:r>
              <w:rPr>
                <w:b/>
              </w:rPr>
              <w:t>2025-06-30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6,289,568.98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pPr>
              <w:ind w:hanging="1"/>
              <w:jc w:val="right"/>
            </w:pPr>
            <w:r>
              <w:rPr>
                <w:b w:val="0"/>
                <w:i w:val="0"/>
                <w:strike w:val="0"/>
                <w:u w:val="none"/>
              </w:rPr>
              <w:t>6,789,128.86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pPr>
              <w:ind w:hanging="1"/>
              <w:jc w:val="right"/>
            </w:pPr>
            <w:r>
              <w:rPr>
                <w:b w:val="0"/>
                <w:i w:val="0"/>
                <w:strike w:val="0"/>
                <w:u w:val="none"/>
              </w:rPr>
              <w:t>580,244,650.12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pPr>
              <w:ind w:hanging="1"/>
              <w:jc w:val="right"/>
            </w:pPr>
            <w:r>
              <w:rPr>
                <w:b w:val="0"/>
                <w:i w:val="0"/>
                <w:strike w:val="0"/>
                <w:u w:val="none"/>
              </w:rPr>
              <w:t>1.0033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pPr>
              <w:jc w:val="right"/>
              <w:rPr>
                <w:rFonts w:hint="eastAsia"/>
                <w:lang w:val="en-US" w:eastAsia="zh-CN"/>
              </w:rPr>
            </w:pPr>
            <w:r>
              <w:rPr>
                <w:rFonts w:hint="eastAsia"/>
              </w:rPr>
              <w:t>1.0972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pPr>
              <w:jc w:val="right"/>
              <w:rPr>
                <w:rFonts w:hint="eastAsia"/>
                <w:lang w:val="en-US" w:eastAsia="zh-CN"/>
              </w:rPr>
            </w:pPr>
            <w:r>
              <w:rPr>
                <w:rFonts w:hint="eastAsia"/>
              </w:rPr>
              <w:t>580,244,650.12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1.0033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1.0972</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497,238,324.84</w:t>
            </w:r>
          </w:p>
        </w:tc>
        <w:tc>
          <w:tcPr>
            <w:tcW w:w="1749" w:type="dxa"/>
            <w:shd w:val="clear" w:color="auto" w:fill="auto"/>
            <w:vAlign w:val="center"/>
          </w:tcPr>
          <w:p>
            <w:pPr>
              <w:jc w:val="right"/>
            </w:pPr>
            <w:r>
              <w:t>85.02</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497,238,324.84</w:t>
            </w:r>
          </w:p>
        </w:tc>
        <w:tc>
          <w:tcPr>
            <w:tcW w:w="1749" w:type="dxa"/>
            <w:shd w:val="clear" w:color="auto" w:fill="auto"/>
            <w:vAlign w:val="center"/>
          </w:tcPr>
          <w:p>
            <w:pPr>
              <w:jc w:val="right"/>
            </w:pPr>
            <w:r>
              <w:t>85.02</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87,026,651.46</w:t>
            </w:r>
          </w:p>
        </w:tc>
        <w:tc>
          <w:tcPr>
            <w:tcW w:w="1749" w:type="dxa"/>
            <w:shd w:val="clear" w:color="auto" w:fill="auto"/>
            <w:vAlign w:val="center"/>
          </w:tcPr>
          <w:p>
            <w:pPr>
              <w:jc w:val="right"/>
            </w:pPr>
            <w:r>
              <w:t>14.88</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520,451.59</w:t>
            </w:r>
          </w:p>
        </w:tc>
        <w:tc>
          <w:tcPr>
            <w:tcW w:w="1749" w:type="dxa"/>
            <w:shd w:val="clear" w:color="auto" w:fill="auto"/>
            <w:vAlign w:val="center"/>
          </w:tcPr>
          <w:p>
            <w:pPr>
              <w:jc w:val="right"/>
            </w:pPr>
            <w:r>
              <w:t>0.09</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31,055.10</w:t>
            </w:r>
          </w:p>
        </w:tc>
        <w:tc>
          <w:tcPr>
            <w:tcW w:w="1749" w:type="dxa"/>
            <w:shd w:val="clear" w:color="auto" w:fill="auto"/>
            <w:vAlign w:val="center"/>
          </w:tcPr>
          <w:p>
            <w:pPr>
              <w:jc w:val="right"/>
            </w:pPr>
            <w:r>
              <w:t>0.01</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584,816,482.99</w:t>
            </w:r>
          </w:p>
        </w:tc>
        <w:tc>
          <w:tcPr>
            <w:tcW w:w="1749" w:type="dxa"/>
            <w:shd w:val="clear" w:color="auto" w:fill="auto"/>
          </w:tcPr>
          <w:p>
            <w:pPr>
              <w:jc w:val="right"/>
            </w:pPr>
            <w:r>
              <w:t>100.00</w:t>
            </w:r>
          </w:p>
        </w:tc>
        <w:tc>
          <w:tcPr>
            <w:tcW w:w="1653" w:type="dxa"/>
          </w:tcPr>
          <w:p>
            <w:pPr>
              <w:jc w:val="right"/>
            </w:pPr>
            <w:r>
              <w:t>0.00</w:t>
            </w:r>
          </w:p>
        </w:tc>
        <w:tc>
          <w:tcPr>
            <w:tcW w:w="1705" w:type="dxa"/>
          </w:tcPr>
          <w:p>
            <w:pPr>
              <w:jc w:val="right"/>
            </w:pPr>
            <w:r>
              <w:t>0.00</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pPr>
              <w:jc w:val="right"/>
            </w:pPr>
            <w:r>
              <w:t>87,026,651.46</w:t>
            </w:r>
          </w:p>
        </w:tc>
        <w:tc>
          <w:tcPr>
            <w:tcW w:w="2431" w:type="dxa"/>
            <w:shd w:val="clear" w:color="auto" w:fill="auto"/>
            <w:vAlign w:val="center"/>
          </w:tcPr>
          <w:p>
            <w:pPr>
              <w:jc w:val="right"/>
            </w:pPr>
            <w:bookmarkStart w:id="3" w:name="OLE_LINK6"/>
            <w:bookmarkEnd w:id="3"/>
            <w:bookmarkStart w:id="4" w:name="OLE_LINK5"/>
            <w:bookmarkEnd w:id="4"/>
            <w:r>
              <w:rPr>
                <w:rFonts w:hint="eastAsia"/>
              </w:rPr>
              <w:t>15.00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2</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25贵州银行CD011</w:t>
            </w:r>
          </w:p>
        </w:tc>
        <w:tc>
          <w:tcPr>
            <w:tcW w:w="2693" w:type="dxa"/>
            <w:shd w:val="clear" w:color="auto" w:fill="auto"/>
            <w:vAlign w:val="center"/>
          </w:tcPr>
          <w:p>
            <w:pPr>
              <w:ind w:hanging="1"/>
              <w:jc w:val="right"/>
            </w:pPr>
            <w:r>
              <w:rPr>
                <w:b w:val="0"/>
                <w:i w:val="0"/>
                <w:strike w:val="0"/>
                <w:u w:val="none"/>
              </w:rPr>
              <w:t>29,685,215.75</w:t>
            </w:r>
          </w:p>
        </w:tc>
        <w:tc>
          <w:tcPr>
            <w:tcW w:w="2431" w:type="dxa"/>
            <w:shd w:val="clear" w:color="auto" w:fill="auto"/>
            <w:vAlign w:val="center"/>
          </w:tcPr>
          <w:p>
            <w:pPr>
              <w:ind w:hanging="1"/>
              <w:jc w:val="right"/>
            </w:pPr>
            <w:r>
              <w:rPr>
                <w:rFonts w:hint="eastAsia"/>
                <w:b w:val="0"/>
                <w:i w:val="0"/>
                <w:strike w:val="0"/>
                <w:u w:val="none"/>
              </w:rPr>
              <w:t>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3</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24龙驰01</w:t>
            </w:r>
          </w:p>
        </w:tc>
        <w:tc>
          <w:tcPr>
            <w:tcW w:w="2693" w:type="dxa"/>
            <w:shd w:val="clear" w:color="auto" w:fill="auto"/>
            <w:vAlign w:val="center"/>
          </w:tcPr>
          <w:p>
            <w:pPr>
              <w:ind w:hanging="1"/>
              <w:jc w:val="right"/>
            </w:pPr>
            <w:r>
              <w:rPr>
                <w:b w:val="0"/>
                <w:i w:val="0"/>
                <w:strike w:val="0"/>
                <w:u w:val="none"/>
              </w:rPr>
              <w:t>26,193,253.43</w:t>
            </w:r>
          </w:p>
        </w:tc>
        <w:tc>
          <w:tcPr>
            <w:tcW w:w="2431" w:type="dxa"/>
            <w:shd w:val="clear" w:color="auto" w:fill="auto"/>
            <w:vAlign w:val="center"/>
          </w:tcPr>
          <w:p>
            <w:pPr>
              <w:ind w:hanging="1"/>
              <w:jc w:val="right"/>
            </w:pPr>
            <w:r>
              <w:rPr>
                <w:rFonts w:hint="eastAsia"/>
                <w:b w:val="0"/>
                <w:i w:val="0"/>
                <w:strike w:val="0"/>
                <w:u w:val="none"/>
              </w:rPr>
              <w:t>4.51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4</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25兴阳01</w:t>
            </w:r>
          </w:p>
        </w:tc>
        <w:tc>
          <w:tcPr>
            <w:tcW w:w="2693" w:type="dxa"/>
            <w:shd w:val="clear" w:color="auto" w:fill="auto"/>
            <w:vAlign w:val="center"/>
          </w:tcPr>
          <w:p>
            <w:pPr>
              <w:ind w:hanging="1"/>
              <w:jc w:val="right"/>
            </w:pPr>
            <w:r>
              <w:rPr>
                <w:b w:val="0"/>
                <w:i w:val="0"/>
                <w:strike w:val="0"/>
                <w:u w:val="none"/>
              </w:rPr>
              <w:t>25,325,171.23</w:t>
            </w:r>
          </w:p>
        </w:tc>
        <w:tc>
          <w:tcPr>
            <w:tcW w:w="2431" w:type="dxa"/>
            <w:shd w:val="clear" w:color="auto" w:fill="auto"/>
            <w:vAlign w:val="center"/>
          </w:tcPr>
          <w:p>
            <w:pPr>
              <w:ind w:hanging="1"/>
              <w:jc w:val="right"/>
            </w:pPr>
            <w:r>
              <w:rPr>
                <w:rFonts w:hint="eastAsia"/>
                <w:b w:val="0"/>
                <w:i w:val="0"/>
                <w:strike w:val="0"/>
                <w:u w:val="none"/>
              </w:rPr>
              <w:t>4.36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5</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23达州02</w:t>
            </w:r>
          </w:p>
        </w:tc>
        <w:tc>
          <w:tcPr>
            <w:tcW w:w="2693" w:type="dxa"/>
            <w:shd w:val="clear" w:color="auto" w:fill="auto"/>
            <w:vAlign w:val="center"/>
          </w:tcPr>
          <w:p>
            <w:pPr>
              <w:ind w:hanging="1"/>
              <w:jc w:val="right"/>
            </w:pPr>
            <w:r>
              <w:rPr>
                <w:b w:val="0"/>
                <w:i w:val="0"/>
                <w:strike w:val="0"/>
                <w:u w:val="none"/>
              </w:rPr>
              <w:t>23,862,153.42</w:t>
            </w:r>
          </w:p>
        </w:tc>
        <w:tc>
          <w:tcPr>
            <w:tcW w:w="2431" w:type="dxa"/>
            <w:shd w:val="clear" w:color="auto" w:fill="auto"/>
            <w:vAlign w:val="center"/>
          </w:tcPr>
          <w:p>
            <w:pPr>
              <w:ind w:hanging="1"/>
              <w:jc w:val="right"/>
            </w:pPr>
            <w:r>
              <w:rPr>
                <w:rFonts w:hint="eastAsia"/>
                <w:b w:val="0"/>
                <w:i w:val="0"/>
                <w:strike w:val="0"/>
                <w:u w:val="none"/>
              </w:rPr>
              <w:t>4.11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6</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23阳安债</w:t>
            </w:r>
          </w:p>
        </w:tc>
        <w:tc>
          <w:tcPr>
            <w:tcW w:w="2693" w:type="dxa"/>
            <w:shd w:val="clear" w:color="auto" w:fill="auto"/>
            <w:vAlign w:val="center"/>
          </w:tcPr>
          <w:p>
            <w:pPr>
              <w:ind w:hanging="1"/>
              <w:jc w:val="right"/>
            </w:pPr>
            <w:r>
              <w:rPr>
                <w:b w:val="0"/>
                <w:i w:val="0"/>
                <w:strike w:val="0"/>
                <w:u w:val="none"/>
              </w:rPr>
              <w:t>21,638,219.18</w:t>
            </w:r>
          </w:p>
        </w:tc>
        <w:tc>
          <w:tcPr>
            <w:tcW w:w="2431" w:type="dxa"/>
            <w:shd w:val="clear" w:color="auto" w:fill="auto"/>
            <w:vAlign w:val="center"/>
          </w:tcPr>
          <w:p>
            <w:pPr>
              <w:ind w:hanging="1"/>
              <w:jc w:val="right"/>
            </w:pPr>
            <w:r>
              <w:rPr>
                <w:rFonts w:hint="eastAsia"/>
                <w:b w:val="0"/>
                <w:i w:val="0"/>
                <w:strike w:val="0"/>
                <w:u w:val="none"/>
              </w:rPr>
              <w:t>3.73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7</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23鼎兴实业MTN003</w:t>
            </w:r>
          </w:p>
        </w:tc>
        <w:tc>
          <w:tcPr>
            <w:tcW w:w="2693" w:type="dxa"/>
            <w:shd w:val="clear" w:color="auto" w:fill="auto"/>
            <w:vAlign w:val="center"/>
          </w:tcPr>
          <w:p>
            <w:pPr>
              <w:ind w:hanging="1"/>
              <w:jc w:val="right"/>
            </w:pPr>
            <w:r>
              <w:rPr>
                <w:b w:val="0"/>
                <w:i w:val="0"/>
                <w:strike w:val="0"/>
                <w:u w:val="none"/>
              </w:rPr>
              <w:t>21,067,835.62</w:t>
            </w:r>
          </w:p>
        </w:tc>
        <w:tc>
          <w:tcPr>
            <w:tcW w:w="2431" w:type="dxa"/>
            <w:shd w:val="clear" w:color="auto" w:fill="auto"/>
            <w:vAlign w:val="center"/>
          </w:tcPr>
          <w:p>
            <w:pPr>
              <w:ind w:hanging="1"/>
              <w:jc w:val="right"/>
            </w:pPr>
            <w:r>
              <w:rPr>
                <w:rFonts w:hint="eastAsia"/>
                <w:b w:val="0"/>
                <w:i w:val="0"/>
                <w:strike w:val="0"/>
                <w:u w:val="none"/>
              </w:rPr>
              <w:t>3.63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8</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23自贡01</w:t>
            </w:r>
          </w:p>
        </w:tc>
        <w:tc>
          <w:tcPr>
            <w:tcW w:w="2693" w:type="dxa"/>
            <w:shd w:val="clear" w:color="auto" w:fill="auto"/>
            <w:vAlign w:val="center"/>
          </w:tcPr>
          <w:p>
            <w:pPr>
              <w:ind w:hanging="1"/>
              <w:jc w:val="right"/>
            </w:pPr>
            <w:r>
              <w:rPr>
                <w:b w:val="0"/>
                <w:i w:val="0"/>
                <w:strike w:val="0"/>
                <w:u w:val="none"/>
              </w:rPr>
              <w:t>20,957,232.88</w:t>
            </w:r>
          </w:p>
        </w:tc>
        <w:tc>
          <w:tcPr>
            <w:tcW w:w="2431" w:type="dxa"/>
            <w:shd w:val="clear" w:color="auto" w:fill="auto"/>
            <w:vAlign w:val="center"/>
          </w:tcPr>
          <w:p>
            <w:pPr>
              <w:ind w:hanging="1"/>
              <w:jc w:val="right"/>
            </w:pPr>
            <w:r>
              <w:rPr>
                <w:rFonts w:hint="eastAsia"/>
                <w:b w:val="0"/>
                <w:i w:val="0"/>
                <w:strike w:val="0"/>
                <w:u w:val="none"/>
              </w:rPr>
              <w:t>3.61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9</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24泸州产业PPN001</w:t>
            </w:r>
          </w:p>
        </w:tc>
        <w:tc>
          <w:tcPr>
            <w:tcW w:w="2693" w:type="dxa"/>
            <w:shd w:val="clear" w:color="auto" w:fill="auto"/>
            <w:vAlign w:val="center"/>
          </w:tcPr>
          <w:p>
            <w:pPr>
              <w:ind w:hanging="1"/>
              <w:jc w:val="right"/>
            </w:pPr>
            <w:r>
              <w:rPr>
                <w:b w:val="0"/>
                <w:i w:val="0"/>
                <w:strike w:val="0"/>
                <w:u w:val="none"/>
              </w:rPr>
              <w:t>20,768,191.78</w:t>
            </w:r>
          </w:p>
        </w:tc>
        <w:tc>
          <w:tcPr>
            <w:tcW w:w="2431" w:type="dxa"/>
            <w:shd w:val="clear" w:color="auto" w:fill="auto"/>
            <w:vAlign w:val="center"/>
          </w:tcPr>
          <w:p>
            <w:pPr>
              <w:ind w:hanging="1"/>
              <w:jc w:val="right"/>
            </w:pPr>
            <w:r>
              <w:rPr>
                <w:rFonts w:hint="eastAsia"/>
                <w:b w:val="0"/>
                <w:i w:val="0"/>
                <w:strike w:val="0"/>
                <w:u w:val="none"/>
              </w:rPr>
              <w:t>3.58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10</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25绵兴02</w:t>
            </w:r>
          </w:p>
        </w:tc>
        <w:tc>
          <w:tcPr>
            <w:tcW w:w="2693" w:type="dxa"/>
            <w:shd w:val="clear" w:color="auto" w:fill="auto"/>
            <w:vAlign w:val="center"/>
          </w:tcPr>
          <w:p>
            <w:pPr>
              <w:ind w:hanging="1"/>
              <w:jc w:val="right"/>
            </w:pPr>
            <w:r>
              <w:rPr>
                <w:b w:val="0"/>
                <w:i w:val="0"/>
                <w:strike w:val="0"/>
                <w:u w:val="none"/>
              </w:rPr>
              <w:t>20,334,328.77</w:t>
            </w:r>
          </w:p>
        </w:tc>
        <w:tc>
          <w:tcPr>
            <w:tcW w:w="2431" w:type="dxa"/>
            <w:shd w:val="clear" w:color="auto" w:fill="auto"/>
            <w:vAlign w:val="center"/>
          </w:tcPr>
          <w:p>
            <w:pPr>
              <w:ind w:hanging="1"/>
              <w:jc w:val="right"/>
            </w:pPr>
            <w:r>
              <w:rPr>
                <w:rFonts w:hint="eastAsia"/>
                <w:b w:val="0"/>
                <w:i w:val="0"/>
                <w:strike w:val="0"/>
                <w:u w:val="none"/>
              </w:rPr>
              <w:t>3.50</w:t>
            </w:r>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0"/>
      </w:pPr>
      <w:r>
        <w:t>托管人报告</w:t>
      </w:r>
    </w:p>
    <w:p>
      <w:pPr>
        <w:spacing w:line="360" w:lineRule="auto"/>
        <w:ind w:right="-107" w:rightChars="-51"/>
        <w:jc w:val="left"/>
        <w:rPr>
          <w:rFonts w:hint="eastAsia" w:ascii="宋体" w:hAnsi="宋体"/>
          <w:szCs w:val="21"/>
        </w:rPr>
      </w:pPr>
      <w:r>
        <w:rPr>
          <w:rFonts w:hint="eastAsia" w:ascii="宋体" w:hAnsi="宋体"/>
          <w:szCs w:val="21"/>
        </w:rPr>
        <w:t>5.1、托管人履职情况</w:t>
      </w:r>
    </w:p>
    <w:p>
      <w:pPr>
        <w:spacing w:line="360" w:lineRule="auto"/>
        <w:ind w:right="-107" w:rightChars="-51"/>
        <w:jc w:val="left"/>
        <w:rPr>
          <w:rFonts w:hint="eastAsia" w:ascii="宋体" w:hAnsi="宋体"/>
          <w:szCs w:val="21"/>
        </w:rPr>
      </w:pPr>
      <w:r>
        <w:rPr>
          <w:rFonts w:hint="eastAsia" w:ascii="宋体" w:hAnsi="宋体"/>
          <w:szCs w:val="21"/>
        </w:rPr>
        <w:t>（一）托管资产保管</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jc w:val="left"/>
        <w:rPr>
          <w:rFonts w:hint="eastAsia" w:ascii="宋体" w:hAnsi="宋体"/>
          <w:szCs w:val="21"/>
        </w:rPr>
      </w:pPr>
      <w:r>
        <w:rPr>
          <w:rFonts w:hint="eastAsia" w:ascii="宋体" w:hAnsi="宋体"/>
          <w:szCs w:val="21"/>
        </w:rPr>
        <w:t>（二）会计核算和估值</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pPr>
        <w:spacing w:line="360" w:lineRule="auto"/>
        <w:ind w:right="-107" w:rightChars="-51"/>
        <w:jc w:val="left"/>
        <w:rPr>
          <w:rFonts w:hint="eastAsia" w:ascii="宋体" w:hAnsi="宋体"/>
          <w:szCs w:val="21"/>
        </w:rPr>
      </w:pPr>
      <w:r>
        <w:rPr>
          <w:rFonts w:hint="eastAsia" w:ascii="宋体" w:hAnsi="宋体"/>
          <w:szCs w:val="21"/>
        </w:rPr>
        <w:t>（三）定期核对有关数据</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pPr>
        <w:spacing w:line="360" w:lineRule="auto"/>
        <w:ind w:right="-107" w:rightChars="-51"/>
        <w:jc w:val="left"/>
        <w:rPr>
          <w:rFonts w:hint="eastAsia" w:ascii="宋体" w:hAnsi="宋体"/>
          <w:szCs w:val="21"/>
        </w:rPr>
      </w:pPr>
      <w:r>
        <w:rPr>
          <w:rFonts w:hint="eastAsia" w:ascii="宋体" w:hAnsi="宋体"/>
          <w:szCs w:val="21"/>
        </w:rPr>
        <w:t>（四）投资监督</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pPr>
        <w:spacing w:line="360" w:lineRule="auto"/>
        <w:ind w:right="-107" w:rightChars="-51"/>
        <w:jc w:val="left"/>
        <w:rPr>
          <w:rFonts w:hint="eastAsia" w:ascii="宋体" w:hAnsi="宋体"/>
          <w:szCs w:val="21"/>
        </w:rPr>
      </w:pPr>
      <w:r>
        <w:rPr>
          <w:rFonts w:hint="eastAsia" w:ascii="宋体" w:hAnsi="宋体"/>
          <w:szCs w:val="21"/>
        </w:rPr>
        <w:t>5.2、托管人声明</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pPr>
        <w:pStyle w:val="40"/>
      </w:pPr>
      <w:r>
        <w:rPr>
          <w:rFonts w:hint="eastAsia"/>
          <w:lang w:val="en-US"/>
        </w:rPr>
        <w:t>关联交易情况说明</w:t>
      </w:r>
    </w:p>
    <w:p>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p>
    <w:p>
      <w:pPr>
        <w:spacing w:line="360" w:lineRule="auto"/>
        <w:ind w:right="-107" w:rightChars="-51" w:firstLine="420" w:firstLineChars="200"/>
        <w:jc w:val="left"/>
        <w:rPr>
          <w:rFonts w:hint="eastAsia" w:ascii="宋体" w:hAnsi="宋体"/>
          <w:szCs w:val="21"/>
        </w:rPr>
      </w:pPr>
    </w:p>
    <w:p>
      <w:pPr>
        <w:jc w:val="left"/>
        <w:rPr>
          <w:rFonts w:asciiTheme="minorEastAsia" w:hAnsiTheme="minorEastAsia" w:eastAsiaTheme="minorEastAsia"/>
          <w:szCs w:val="21"/>
        </w:rPr>
      </w:pPr>
    </w:p>
    <w:p>
      <w:pPr>
        <w:jc w:val="right"/>
        <w:rPr>
          <w:rFonts w:ascii="宋体" w:hAnsi="宋体"/>
          <w:sz w:val="24"/>
        </w:rPr>
      </w:pPr>
      <w:bookmarkStart w:id="5" w:name="_GoBack"/>
      <w:bookmarkEnd w:id="5"/>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2025-07-15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30D863E3"/>
    <w:rsid w:val="35706056"/>
    <w:rsid w:val="35844C1F"/>
    <w:rsid w:val="378A66D0"/>
    <w:rsid w:val="46050EA9"/>
    <w:rsid w:val="49D862C5"/>
    <w:rsid w:val="4B474E5A"/>
    <w:rsid w:val="51E06E0A"/>
    <w:rsid w:val="53167101"/>
    <w:rsid w:val="5B5FA6DC"/>
    <w:rsid w:val="63BE4DA7"/>
    <w:rsid w:val="6CB6511A"/>
    <w:rsid w:val="702431AB"/>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01142875</cp:lastModifiedBy>
  <cp:lastPrinted>2411-12-31T00:00:00Z</cp:lastPrinted>
  <dcterms:modified xsi:type="dcterms:W3CDTF">2025-07-10T07:02:53Z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