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四川银行定开系列3个月4号净值型理财产品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515,670,200.00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9.87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3,667,675.46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5,314,461.55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517,784,100.90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517,784,100.90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1.0987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397,356,685.33</w:t>
            </w:r>
          </w:p>
        </w:tc>
        <w:tc>
          <w:tcPr>
            <w:tcW w:w="1749" w:type="dxa"/>
            <w:shd w:val="clear" w:color="auto" w:fill="auto"/>
            <w:vAlign w:val="center"/>
          </w:tcPr>
          <w:p>
            <w:pPr>
              <w:jc w:val="right"/>
            </w:pPr>
            <w:r>
              <w:t>75.84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377,815,429.72</w:t>
            </w:r>
          </w:p>
        </w:tc>
        <w:tc>
          <w:tcPr>
            <w:tcW w:w="1749" w:type="dxa"/>
            <w:shd w:val="clear" w:color="auto" w:fill="auto"/>
            <w:vAlign w:val="center"/>
          </w:tcPr>
          <w:p>
            <w:pPr>
              <w:jc w:val="right"/>
            </w:pPr>
            <w:r>
              <w:t>72.11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19,541,255.61</w:t>
            </w:r>
          </w:p>
        </w:tc>
        <w:tc>
          <w:tcPr>
            <w:tcW w:w="1749" w:type="dxa"/>
            <w:shd w:val="clear" w:color="auto" w:fill="auto"/>
            <w:vAlign w:val="center"/>
          </w:tcPr>
          <w:p>
            <w:pPr>
              <w:jc w:val="right"/>
            </w:pPr>
            <w:r>
              <w:t>3.73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118,036,147.98</w:t>
            </w:r>
          </w:p>
        </w:tc>
        <w:tc>
          <w:tcPr>
            <w:tcW w:w="1749" w:type="dxa"/>
            <w:shd w:val="clear" w:color="auto" w:fill="auto"/>
            <w:vAlign w:val="center"/>
          </w:tcPr>
          <w:p>
            <w:pPr>
              <w:jc w:val="right"/>
            </w:pPr>
            <w:r>
              <w:t>22.53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8,244,306.81</w:t>
            </w:r>
          </w:p>
        </w:tc>
        <w:tc>
          <w:tcPr>
            <w:tcW w:w="1749" w:type="dxa"/>
            <w:shd w:val="clear" w:color="auto" w:fill="auto"/>
            <w:vAlign w:val="center"/>
          </w:tcPr>
          <w:p>
            <w:pPr>
              <w:jc w:val="right"/>
            </w:pPr>
            <w:r>
              <w:t>1.57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308,876.18</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523,946,016.30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118,036,147.98</w:t>
            </w:r>
          </w:p>
        </w:tc>
        <w:tc>
          <w:tcPr>
            <w:tcW w:w="2431" w:type="dxa"/>
            <w:shd w:val="clear" w:color="auto" w:fill="auto"/>
            <w:vAlign w:val="center"/>
          </w:tcPr>
          <w:p>
            <w:pPr>
              <w:jc w:val="right"/>
            </w:pPr>
            <w:bookmarkStart w:id="3" w:name="OLE_LINK6"/>
            <w:bookmarkEnd w:id="3"/>
            <w:bookmarkStart w:id="4" w:name="OLE_LINK5"/>
            <w:bookmarkEnd w:id="4"/>
            <w:r>
              <w:rPr>
                <w:rFonts w:hint="eastAsia"/>
              </w:rPr>
              <w:t>22.80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31,830,493.15</w:t>
            </w:r>
          </w:p>
        </w:tc>
        <w:tc>
          <w:tcPr>
            <w:tcW w:w="2431" w:type="dxa"/>
            <w:shd w:val="clear" w:color="auto" w:fill="auto"/>
            <w:vAlign w:val="center"/>
          </w:tcPr>
          <w:p>
            <w:pPr>
              <w:ind w:hanging="1"/>
              <w:jc w:val="right"/>
            </w:pPr>
            <w:r>
              <w:rPr>
                <w:rFonts w:hint="eastAsia"/>
                <w:b w:val="0"/>
                <w:i w:val="0"/>
                <w:strike w:val="0"/>
                <w:u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30,405,090.41</w:t>
            </w:r>
          </w:p>
        </w:tc>
        <w:tc>
          <w:tcPr>
            <w:tcW w:w="2431" w:type="dxa"/>
            <w:shd w:val="clear" w:color="auto" w:fill="auto"/>
            <w:vAlign w:val="center"/>
          </w:tcPr>
          <w:p>
            <w:pPr>
              <w:ind w:hanging="1"/>
              <w:jc w:val="right"/>
            </w:pPr>
            <w:r>
              <w:rPr>
                <w:rFonts w:hint="eastAsia"/>
                <w:b w:val="0"/>
                <w:i w:val="0"/>
                <w:strike w:val="0"/>
                <w:u w:val="none"/>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21,067,835.62</w:t>
            </w:r>
          </w:p>
        </w:tc>
        <w:tc>
          <w:tcPr>
            <w:tcW w:w="2431" w:type="dxa"/>
            <w:shd w:val="clear" w:color="auto" w:fill="auto"/>
            <w:vAlign w:val="center"/>
          </w:tcPr>
          <w:p>
            <w:pPr>
              <w:ind w:hanging="1"/>
              <w:jc w:val="right"/>
            </w:pPr>
            <w:r>
              <w:rPr>
                <w:rFonts w:hint="eastAsia"/>
                <w:b w:val="0"/>
                <w:i w:val="0"/>
                <w:strike w:val="0"/>
                <w:u w:val="none"/>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20,954,602.74</w:t>
            </w:r>
          </w:p>
        </w:tc>
        <w:tc>
          <w:tcPr>
            <w:tcW w:w="2431" w:type="dxa"/>
            <w:shd w:val="clear" w:color="auto" w:fill="auto"/>
            <w:vAlign w:val="center"/>
          </w:tcPr>
          <w:p>
            <w:pPr>
              <w:ind w:hanging="1"/>
              <w:jc w:val="right"/>
            </w:pPr>
            <w:r>
              <w:rPr>
                <w:rFonts w:hint="eastAsia"/>
                <w:b w:val="0"/>
                <w:i w:val="0"/>
                <w:strike w:val="0"/>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20,288,547.95</w:t>
            </w:r>
          </w:p>
        </w:tc>
        <w:tc>
          <w:tcPr>
            <w:tcW w:w="2431" w:type="dxa"/>
            <w:shd w:val="clear" w:color="auto" w:fill="auto"/>
            <w:vAlign w:val="center"/>
          </w:tcPr>
          <w:p>
            <w:pPr>
              <w:ind w:hanging="1"/>
              <w:jc w:val="right"/>
            </w:pPr>
            <w:r>
              <w:rPr>
                <w:rFonts w:hint="eastAsia"/>
                <w:b w:val="0"/>
                <w:i w:val="0"/>
                <w:strike w:val="0"/>
                <w:u w:val="none"/>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25渤海银行CD038</w:t>
            </w:r>
          </w:p>
        </w:tc>
        <w:tc>
          <w:tcPr>
            <w:tcW w:w="2693" w:type="dxa"/>
            <w:shd w:val="clear" w:color="auto" w:fill="auto"/>
            <w:vAlign w:val="center"/>
          </w:tcPr>
          <w:p>
            <w:pPr>
              <w:ind w:hanging="1"/>
              <w:jc w:val="right"/>
            </w:pPr>
            <w:r>
              <w:rPr>
                <w:b w:val="0"/>
                <w:i w:val="0"/>
                <w:strike w:val="0"/>
                <w:u w:val="none"/>
              </w:rPr>
              <w:t>19,814,250.74</w:t>
            </w:r>
          </w:p>
        </w:tc>
        <w:tc>
          <w:tcPr>
            <w:tcW w:w="2431" w:type="dxa"/>
            <w:shd w:val="clear" w:color="auto" w:fill="auto"/>
            <w:vAlign w:val="center"/>
          </w:tcPr>
          <w:p>
            <w:pPr>
              <w:ind w:hanging="1"/>
              <w:jc w:val="right"/>
            </w:pPr>
            <w:r>
              <w:rPr>
                <w:rFonts w:hint="eastAsia"/>
                <w:b w:val="0"/>
                <w:i w:val="0"/>
                <w:strike w:val="0"/>
                <w:u w:val="none"/>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19,764,592.16</w:t>
            </w:r>
          </w:p>
        </w:tc>
        <w:tc>
          <w:tcPr>
            <w:tcW w:w="2431" w:type="dxa"/>
            <w:shd w:val="clear" w:color="auto" w:fill="auto"/>
            <w:vAlign w:val="center"/>
          </w:tcPr>
          <w:p>
            <w:pPr>
              <w:ind w:hanging="1"/>
              <w:jc w:val="right"/>
            </w:pPr>
            <w:r>
              <w:rPr>
                <w:rFonts w:hint="eastAsia"/>
                <w:b w:val="0"/>
                <w:i w:val="0"/>
                <w:strike w:val="0"/>
                <w:u w:val="none"/>
              </w:rPr>
              <w:t>3.82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5BE0221D"/>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2025-07-10T06:55:52Z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