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四川银行定开系列3个月3号净值型理财产品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347,346,740.00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9.88</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3,814,306.53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3,786,885.02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348,916,937.59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348,916,937.59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1.0988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256,250,545.20</w:t>
            </w:r>
          </w:p>
        </w:tc>
        <w:tc>
          <w:tcPr>
            <w:tcW w:w="1749" w:type="dxa"/>
            <w:shd w:val="clear" w:color="auto" w:fill="auto"/>
            <w:vAlign w:val="center"/>
          </w:tcPr>
          <w:p>
            <w:pPr>
              <w:jc w:val="right"/>
            </w:pPr>
            <w:r>
              <w:t>72.26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222,726,287.65</w:t>
            </w:r>
          </w:p>
        </w:tc>
        <w:tc>
          <w:tcPr>
            <w:tcW w:w="1749" w:type="dxa"/>
            <w:shd w:val="clear" w:color="auto" w:fill="auto"/>
            <w:vAlign w:val="center"/>
          </w:tcPr>
          <w:p>
            <w:pPr>
              <w:jc w:val="right"/>
            </w:pPr>
            <w:r>
              <w:t>62.81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33,524,257.55</w:t>
            </w:r>
          </w:p>
        </w:tc>
        <w:tc>
          <w:tcPr>
            <w:tcW w:w="1749" w:type="dxa"/>
            <w:shd w:val="clear" w:color="auto" w:fill="auto"/>
            <w:vAlign w:val="center"/>
          </w:tcPr>
          <w:p>
            <w:pPr>
              <w:jc w:val="right"/>
            </w:pPr>
            <w:r>
              <w:t>9.45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80,024,507.10</w:t>
            </w:r>
          </w:p>
        </w:tc>
        <w:tc>
          <w:tcPr>
            <w:tcW w:w="1749" w:type="dxa"/>
            <w:shd w:val="clear" w:color="auto" w:fill="auto"/>
            <w:vAlign w:val="center"/>
          </w:tcPr>
          <w:p>
            <w:pPr>
              <w:jc w:val="right"/>
            </w:pPr>
            <w:r>
              <w:t>22.57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18,202,873.96</w:t>
            </w:r>
          </w:p>
        </w:tc>
        <w:tc>
          <w:tcPr>
            <w:tcW w:w="1749" w:type="dxa"/>
            <w:shd w:val="clear" w:color="auto" w:fill="auto"/>
            <w:vAlign w:val="center"/>
          </w:tcPr>
          <w:p>
            <w:pPr>
              <w:jc w:val="right"/>
            </w:pPr>
            <w:r>
              <w:t>5.13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139,003.15</w:t>
            </w:r>
          </w:p>
        </w:tc>
        <w:tc>
          <w:tcPr>
            <w:tcW w:w="1749" w:type="dxa"/>
            <w:shd w:val="clear" w:color="auto" w:fill="auto"/>
            <w:vAlign w:val="center"/>
          </w:tcPr>
          <w:p>
            <w:pPr>
              <w:jc w:val="right"/>
            </w:pPr>
            <w:r>
              <w:t>0.04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354,616,929.41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80,024,507.10</w:t>
            </w:r>
          </w:p>
        </w:tc>
        <w:tc>
          <w:tcPr>
            <w:tcW w:w="2431" w:type="dxa"/>
            <w:shd w:val="clear" w:color="auto" w:fill="auto"/>
            <w:vAlign w:val="center"/>
          </w:tcPr>
          <w:p>
            <w:pPr>
              <w:jc w:val="right"/>
            </w:pPr>
            <w:bookmarkStart w:id="3" w:name="OLE_LINK5"/>
            <w:bookmarkEnd w:id="3"/>
            <w:bookmarkStart w:id="4" w:name="OLE_LINK6"/>
            <w:bookmarkEnd w:id="4"/>
            <w:r>
              <w:rPr>
                <w:rFonts w:hint="eastAsia"/>
              </w:rPr>
              <w:t>22.94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20,288,547.95</w:t>
            </w:r>
          </w:p>
        </w:tc>
        <w:tc>
          <w:tcPr>
            <w:tcW w:w="2431" w:type="dxa"/>
            <w:shd w:val="clear" w:color="auto" w:fill="auto"/>
            <w:vAlign w:val="center"/>
          </w:tcPr>
          <w:p>
            <w:pPr>
              <w:ind w:hanging="1"/>
              <w:jc w:val="right"/>
            </w:pPr>
            <w:r>
              <w:rPr>
                <w:rFonts w:hint="eastAsia"/>
                <w:b w:val="0"/>
                <w:i w:val="0"/>
                <w:strike w:val="0"/>
                <w:u w:val="none"/>
              </w:rPr>
              <w:t>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泸租03A2</w:t>
            </w:r>
          </w:p>
        </w:tc>
        <w:tc>
          <w:tcPr>
            <w:tcW w:w="2693" w:type="dxa"/>
            <w:shd w:val="clear" w:color="auto" w:fill="auto"/>
            <w:vAlign w:val="center"/>
          </w:tcPr>
          <w:p>
            <w:pPr>
              <w:ind w:hanging="1"/>
              <w:jc w:val="right"/>
            </w:pPr>
            <w:r>
              <w:rPr>
                <w:b w:val="0"/>
                <w:i w:val="0"/>
                <w:strike w:val="0"/>
                <w:u w:val="none"/>
              </w:rPr>
              <w:t>20,079,156.16</w:t>
            </w:r>
          </w:p>
        </w:tc>
        <w:tc>
          <w:tcPr>
            <w:tcW w:w="2431" w:type="dxa"/>
            <w:shd w:val="clear" w:color="auto" w:fill="auto"/>
            <w:vAlign w:val="center"/>
          </w:tcPr>
          <w:p>
            <w:pPr>
              <w:ind w:hanging="1"/>
              <w:jc w:val="right"/>
            </w:pPr>
            <w:r>
              <w:rPr>
                <w:rFonts w:hint="eastAsia"/>
                <w:b w:val="0"/>
                <w:i w:val="0"/>
                <w:strike w:val="0"/>
                <w:u w:val="none"/>
              </w:rPr>
              <w:t>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25江苏江南农村商业银行CD010</w:t>
            </w:r>
          </w:p>
        </w:tc>
        <w:tc>
          <w:tcPr>
            <w:tcW w:w="2693" w:type="dxa"/>
            <w:shd w:val="clear" w:color="auto" w:fill="auto"/>
            <w:vAlign w:val="center"/>
          </w:tcPr>
          <w:p>
            <w:pPr>
              <w:ind w:hanging="1"/>
              <w:jc w:val="right"/>
            </w:pPr>
            <w:r>
              <w:rPr>
                <w:b w:val="0"/>
                <w:i w:val="0"/>
                <w:strike w:val="0"/>
                <w:u w:val="none"/>
              </w:rPr>
              <w:t>19,980,850.50</w:t>
            </w:r>
          </w:p>
        </w:tc>
        <w:tc>
          <w:tcPr>
            <w:tcW w:w="2431" w:type="dxa"/>
            <w:shd w:val="clear" w:color="auto" w:fill="auto"/>
            <w:vAlign w:val="center"/>
          </w:tcPr>
          <w:p>
            <w:pPr>
              <w:ind w:hanging="1"/>
              <w:jc w:val="right"/>
            </w:pPr>
            <w:r>
              <w:rPr>
                <w:rFonts w:hint="eastAsia"/>
                <w:b w:val="0"/>
                <w:i w:val="0"/>
                <w:strike w:val="0"/>
                <w:u w:val="none"/>
              </w:rPr>
              <w:t>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24东坡01</w:t>
            </w:r>
          </w:p>
        </w:tc>
        <w:tc>
          <w:tcPr>
            <w:tcW w:w="2693" w:type="dxa"/>
            <w:shd w:val="clear" w:color="auto" w:fill="auto"/>
            <w:vAlign w:val="center"/>
          </w:tcPr>
          <w:p>
            <w:pPr>
              <w:ind w:hanging="1"/>
              <w:jc w:val="right"/>
            </w:pPr>
            <w:r>
              <w:rPr>
                <w:b w:val="0"/>
                <w:i w:val="0"/>
                <w:strike w:val="0"/>
                <w:u w:val="none"/>
              </w:rPr>
              <w:t>15,168,328.77</w:t>
            </w:r>
          </w:p>
        </w:tc>
        <w:tc>
          <w:tcPr>
            <w:tcW w:w="2431" w:type="dxa"/>
            <w:shd w:val="clear" w:color="auto" w:fill="auto"/>
            <w:vAlign w:val="center"/>
          </w:tcPr>
          <w:p>
            <w:pPr>
              <w:ind w:hanging="1"/>
              <w:jc w:val="right"/>
            </w:pPr>
            <w:r>
              <w:rPr>
                <w:rFonts w:hint="eastAsia"/>
                <w:b w:val="0"/>
                <w:i w:val="0"/>
                <w:strike w:val="0"/>
                <w:u w:val="none"/>
              </w:rPr>
              <w:t>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25贵阳银行CD056</w:t>
            </w:r>
          </w:p>
        </w:tc>
        <w:tc>
          <w:tcPr>
            <w:tcW w:w="2693" w:type="dxa"/>
            <w:shd w:val="clear" w:color="auto" w:fill="auto"/>
            <w:vAlign w:val="center"/>
          </w:tcPr>
          <w:p>
            <w:pPr>
              <w:ind w:hanging="1"/>
              <w:jc w:val="right"/>
            </w:pPr>
            <w:r>
              <w:rPr>
                <w:b w:val="0"/>
                <w:i w:val="0"/>
                <w:strike w:val="0"/>
                <w:u w:val="none"/>
              </w:rPr>
              <w:t>14,910,134.51</w:t>
            </w:r>
          </w:p>
        </w:tc>
        <w:tc>
          <w:tcPr>
            <w:tcW w:w="2431" w:type="dxa"/>
            <w:shd w:val="clear" w:color="auto" w:fill="auto"/>
            <w:vAlign w:val="center"/>
          </w:tcPr>
          <w:p>
            <w:pPr>
              <w:ind w:hanging="1"/>
              <w:jc w:val="right"/>
            </w:pPr>
            <w:r>
              <w:rPr>
                <w:rFonts w:hint="eastAsia"/>
                <w:b w:val="0"/>
                <w:i w:val="0"/>
                <w:strike w:val="0"/>
                <w:u w:val="none"/>
              </w:rPr>
              <w:t>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空港03优</w:t>
            </w:r>
          </w:p>
        </w:tc>
        <w:tc>
          <w:tcPr>
            <w:tcW w:w="2693" w:type="dxa"/>
            <w:shd w:val="clear" w:color="auto" w:fill="auto"/>
            <w:vAlign w:val="center"/>
          </w:tcPr>
          <w:p>
            <w:pPr>
              <w:ind w:hanging="1"/>
              <w:jc w:val="right"/>
            </w:pPr>
            <w:r>
              <w:rPr>
                <w:b w:val="0"/>
                <w:i w:val="0"/>
                <w:strike w:val="0"/>
                <w:u w:val="none"/>
              </w:rPr>
              <w:t>13,445,101.39</w:t>
            </w:r>
          </w:p>
        </w:tc>
        <w:tc>
          <w:tcPr>
            <w:tcW w:w="2431" w:type="dxa"/>
            <w:shd w:val="clear" w:color="auto" w:fill="auto"/>
            <w:vAlign w:val="center"/>
          </w:tcPr>
          <w:p>
            <w:pPr>
              <w:ind w:hanging="1"/>
              <w:jc w:val="right"/>
            </w:pPr>
            <w:r>
              <w:rPr>
                <w:rFonts w:hint="eastAsia"/>
                <w:b w:val="0"/>
                <w:i w:val="0"/>
                <w:strike w:val="0"/>
                <w:u w:val="none"/>
              </w:rPr>
              <w:t>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pPr>
              <w:ind w:hanging="1"/>
              <w:jc w:val="right"/>
            </w:pPr>
            <w:r>
              <w:rPr>
                <w:b w:val="0"/>
                <w:i w:val="0"/>
                <w:strike w:val="0"/>
                <w:u w:val="none"/>
              </w:rPr>
              <w:t>12,185,434.52</w:t>
            </w:r>
          </w:p>
        </w:tc>
        <w:tc>
          <w:tcPr>
            <w:tcW w:w="2431" w:type="dxa"/>
            <w:shd w:val="clear" w:color="auto" w:fill="auto"/>
            <w:vAlign w:val="center"/>
          </w:tcPr>
          <w:p>
            <w:pPr>
              <w:ind w:hanging="1"/>
              <w:jc w:val="right"/>
            </w:pPr>
            <w:r>
              <w:rPr>
                <w:rFonts w:hint="eastAsia"/>
                <w:b w:val="0"/>
                <w:i w:val="0"/>
                <w:strike w:val="0"/>
                <w:u w:val="none"/>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21绵投02</w:t>
            </w:r>
          </w:p>
        </w:tc>
        <w:tc>
          <w:tcPr>
            <w:tcW w:w="2693" w:type="dxa"/>
            <w:shd w:val="clear" w:color="auto" w:fill="auto"/>
            <w:vAlign w:val="center"/>
          </w:tcPr>
          <w:p>
            <w:pPr>
              <w:ind w:hanging="1"/>
              <w:jc w:val="right"/>
            </w:pPr>
            <w:r>
              <w:rPr>
                <w:b w:val="0"/>
                <w:i w:val="0"/>
                <w:strike w:val="0"/>
                <w:u w:val="none"/>
              </w:rPr>
              <w:t>11,321,230.14</w:t>
            </w:r>
          </w:p>
        </w:tc>
        <w:tc>
          <w:tcPr>
            <w:tcW w:w="2431" w:type="dxa"/>
            <w:shd w:val="clear" w:color="auto" w:fill="auto"/>
            <w:vAlign w:val="center"/>
          </w:tcPr>
          <w:p>
            <w:pPr>
              <w:ind w:hanging="1"/>
              <w:jc w:val="right"/>
            </w:pPr>
            <w:r>
              <w:rPr>
                <w:rFonts w:hint="eastAsia"/>
                <w:b w:val="0"/>
                <w:i w:val="0"/>
                <w:strike w:val="0"/>
                <w:u w:val="none"/>
              </w:rPr>
              <w:t>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10,610,164.38</w:t>
            </w:r>
          </w:p>
        </w:tc>
        <w:tc>
          <w:tcPr>
            <w:tcW w:w="2431" w:type="dxa"/>
            <w:shd w:val="clear" w:color="auto" w:fill="auto"/>
            <w:vAlign w:val="center"/>
          </w:tcPr>
          <w:p>
            <w:pPr>
              <w:ind w:hanging="1"/>
              <w:jc w:val="right"/>
            </w:pPr>
            <w:r>
              <w:rPr>
                <w:rFonts w:hint="eastAsia"/>
                <w:b w:val="0"/>
                <w:i w:val="0"/>
                <w:strike w:val="0"/>
                <w:u w:val="none"/>
              </w:rPr>
              <w:t>3.04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C7F728A"/>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2025-07-10T06:54:57Z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