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四川银行定开系列3个月2号净值型理财产品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359,257,000.00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10.03</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3,745,739.92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3,994,973.20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361,032,615.42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361,032,615.42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1.1003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273,443,389.00</w:t>
            </w:r>
          </w:p>
        </w:tc>
        <w:tc>
          <w:tcPr>
            <w:tcW w:w="1749" w:type="dxa"/>
            <w:shd w:val="clear" w:color="auto" w:fill="auto"/>
            <w:vAlign w:val="center"/>
          </w:tcPr>
          <w:p>
            <w:pPr>
              <w:jc w:val="right"/>
            </w:pPr>
            <w:r>
              <w:t>74.64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259,037,923.23</w:t>
            </w:r>
          </w:p>
        </w:tc>
        <w:tc>
          <w:tcPr>
            <w:tcW w:w="1749" w:type="dxa"/>
            <w:shd w:val="clear" w:color="auto" w:fill="auto"/>
            <w:vAlign w:val="center"/>
          </w:tcPr>
          <w:p>
            <w:pPr>
              <w:jc w:val="right"/>
            </w:pPr>
            <w:r>
              <w:t>70.71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14,405,465.77</w:t>
            </w:r>
          </w:p>
        </w:tc>
        <w:tc>
          <w:tcPr>
            <w:tcW w:w="1749" w:type="dxa"/>
            <w:shd w:val="clear" w:color="auto" w:fill="auto"/>
            <w:vAlign w:val="center"/>
          </w:tcPr>
          <w:p>
            <w:pPr>
              <w:jc w:val="right"/>
            </w:pPr>
            <w:r>
              <w:t>3.93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74,022,669.06</w:t>
            </w:r>
          </w:p>
        </w:tc>
        <w:tc>
          <w:tcPr>
            <w:tcW w:w="1749" w:type="dxa"/>
            <w:shd w:val="clear" w:color="auto" w:fill="auto"/>
            <w:vAlign w:val="center"/>
          </w:tcPr>
          <w:p>
            <w:pPr>
              <w:jc w:val="right"/>
            </w:pPr>
            <w:r>
              <w:t>20.20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18,754,243.82</w:t>
            </w:r>
          </w:p>
        </w:tc>
        <w:tc>
          <w:tcPr>
            <w:tcW w:w="1749" w:type="dxa"/>
            <w:shd w:val="clear" w:color="auto" w:fill="auto"/>
            <w:vAlign w:val="center"/>
          </w:tcPr>
          <w:p>
            <w:pPr>
              <w:jc w:val="right"/>
            </w:pPr>
            <w:r>
              <w:t>5.12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140,174.26</w:t>
            </w:r>
          </w:p>
        </w:tc>
        <w:tc>
          <w:tcPr>
            <w:tcW w:w="1749" w:type="dxa"/>
            <w:shd w:val="clear" w:color="auto" w:fill="auto"/>
            <w:vAlign w:val="center"/>
          </w:tcPr>
          <w:p>
            <w:pPr>
              <w:jc w:val="right"/>
            </w:pPr>
            <w:r>
              <w:t>0.04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366,360,476.14</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74,022,669.06</w:t>
            </w:r>
          </w:p>
        </w:tc>
        <w:tc>
          <w:tcPr>
            <w:tcW w:w="2431" w:type="dxa"/>
            <w:shd w:val="clear" w:color="auto" w:fill="auto"/>
            <w:vAlign w:val="center"/>
          </w:tcPr>
          <w:p>
            <w:pPr>
              <w:jc w:val="right"/>
            </w:pPr>
            <w:bookmarkStart w:id="3" w:name="OLE_LINK5"/>
            <w:bookmarkEnd w:id="3"/>
            <w:bookmarkStart w:id="4" w:name="OLE_LINK6"/>
            <w:bookmarkEnd w:id="4"/>
            <w:r>
              <w:rPr>
                <w:rFonts w:hint="eastAsia"/>
              </w:rPr>
              <w:t>20.50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20,805,150.68</w:t>
            </w:r>
          </w:p>
        </w:tc>
        <w:tc>
          <w:tcPr>
            <w:tcW w:w="2431" w:type="dxa"/>
            <w:shd w:val="clear" w:color="auto" w:fill="auto"/>
            <w:vAlign w:val="center"/>
          </w:tcPr>
          <w:p>
            <w:pPr>
              <w:ind w:hanging="1"/>
              <w:jc w:val="right"/>
            </w:pPr>
            <w:r>
              <w:rPr>
                <w:rFonts w:hint="eastAsia"/>
                <w:b w:val="0"/>
                <w:i w:val="0"/>
                <w:strike w:val="0"/>
                <w:u w:val="none"/>
              </w:rPr>
              <w:t>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20,260,136.99</w:t>
            </w:r>
          </w:p>
        </w:tc>
        <w:tc>
          <w:tcPr>
            <w:tcW w:w="2431" w:type="dxa"/>
            <w:shd w:val="clear" w:color="auto" w:fill="auto"/>
            <w:vAlign w:val="center"/>
          </w:tcPr>
          <w:p>
            <w:pPr>
              <w:ind w:hanging="1"/>
              <w:jc w:val="right"/>
            </w:pPr>
            <w:r>
              <w:rPr>
                <w:rFonts w:hint="eastAsia"/>
                <w:b w:val="0"/>
                <w:i w:val="0"/>
                <w:strike w:val="0"/>
                <w:u w:val="none"/>
              </w:rPr>
              <w:t>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25贵阳银行CD056</w:t>
            </w:r>
          </w:p>
        </w:tc>
        <w:tc>
          <w:tcPr>
            <w:tcW w:w="2693" w:type="dxa"/>
            <w:shd w:val="clear" w:color="auto" w:fill="auto"/>
            <w:vAlign w:val="center"/>
          </w:tcPr>
          <w:p>
            <w:pPr>
              <w:ind w:hanging="1"/>
              <w:jc w:val="right"/>
            </w:pPr>
            <w:r>
              <w:rPr>
                <w:b w:val="0"/>
                <w:i w:val="0"/>
                <w:strike w:val="0"/>
                <w:u w:val="none"/>
              </w:rPr>
              <w:t>19,880,179.35</w:t>
            </w:r>
          </w:p>
        </w:tc>
        <w:tc>
          <w:tcPr>
            <w:tcW w:w="2431" w:type="dxa"/>
            <w:shd w:val="clear" w:color="auto" w:fill="auto"/>
            <w:vAlign w:val="center"/>
          </w:tcPr>
          <w:p>
            <w:pPr>
              <w:ind w:hanging="1"/>
              <w:jc w:val="right"/>
            </w:pPr>
            <w:r>
              <w:rPr>
                <w:rFonts w:hint="eastAsia"/>
                <w:b w:val="0"/>
                <w:i w:val="0"/>
                <w:strike w:val="0"/>
                <w:u w:val="none"/>
              </w:rPr>
              <w:t>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24东坡01</w:t>
            </w:r>
          </w:p>
        </w:tc>
        <w:tc>
          <w:tcPr>
            <w:tcW w:w="2693" w:type="dxa"/>
            <w:shd w:val="clear" w:color="auto" w:fill="auto"/>
            <w:vAlign w:val="center"/>
          </w:tcPr>
          <w:p>
            <w:pPr>
              <w:ind w:hanging="1"/>
              <w:jc w:val="right"/>
            </w:pPr>
            <w:r>
              <w:rPr>
                <w:b w:val="0"/>
                <w:i w:val="0"/>
                <w:strike w:val="0"/>
                <w:u w:val="none"/>
              </w:rPr>
              <w:t>15,168,328.77</w:t>
            </w:r>
          </w:p>
        </w:tc>
        <w:tc>
          <w:tcPr>
            <w:tcW w:w="2431" w:type="dxa"/>
            <w:shd w:val="clear" w:color="auto" w:fill="auto"/>
            <w:vAlign w:val="center"/>
          </w:tcPr>
          <w:p>
            <w:pPr>
              <w:ind w:hanging="1"/>
              <w:jc w:val="right"/>
            </w:pPr>
            <w:r>
              <w:rPr>
                <w:rFonts w:hint="eastAsia"/>
                <w:b w:val="0"/>
                <w:i w:val="0"/>
                <w:strike w:val="0"/>
                <w:u w:val="none"/>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25贵州银行CD011</w:t>
            </w:r>
          </w:p>
        </w:tc>
        <w:tc>
          <w:tcPr>
            <w:tcW w:w="2693" w:type="dxa"/>
            <w:shd w:val="clear" w:color="auto" w:fill="auto"/>
            <w:vAlign w:val="center"/>
          </w:tcPr>
          <w:p>
            <w:pPr>
              <w:ind w:hanging="1"/>
              <w:jc w:val="right"/>
            </w:pPr>
            <w:r>
              <w:rPr>
                <w:b w:val="0"/>
                <w:i w:val="0"/>
                <w:strike w:val="0"/>
                <w:u w:val="none"/>
              </w:rPr>
              <w:t>14,842,607.88</w:t>
            </w:r>
          </w:p>
        </w:tc>
        <w:tc>
          <w:tcPr>
            <w:tcW w:w="2431" w:type="dxa"/>
            <w:shd w:val="clear" w:color="auto" w:fill="auto"/>
            <w:vAlign w:val="center"/>
          </w:tcPr>
          <w:p>
            <w:pPr>
              <w:ind w:hanging="1"/>
              <w:jc w:val="right"/>
            </w:pPr>
            <w:r>
              <w:rPr>
                <w:rFonts w:hint="eastAsia"/>
                <w:b w:val="0"/>
                <w:i w:val="0"/>
                <w:strike w:val="0"/>
                <w:u w:val="none"/>
              </w:rPr>
              <w:t>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空港03优</w:t>
            </w:r>
          </w:p>
        </w:tc>
        <w:tc>
          <w:tcPr>
            <w:tcW w:w="2693" w:type="dxa"/>
            <w:shd w:val="clear" w:color="auto" w:fill="auto"/>
            <w:vAlign w:val="center"/>
          </w:tcPr>
          <w:p>
            <w:pPr>
              <w:ind w:hanging="1"/>
              <w:jc w:val="right"/>
            </w:pPr>
            <w:r>
              <w:rPr>
                <w:b w:val="0"/>
                <w:i w:val="0"/>
                <w:strike w:val="0"/>
                <w:u w:val="none"/>
              </w:rPr>
              <w:t>14,405,465.77</w:t>
            </w:r>
          </w:p>
        </w:tc>
        <w:tc>
          <w:tcPr>
            <w:tcW w:w="2431" w:type="dxa"/>
            <w:shd w:val="clear" w:color="auto" w:fill="auto"/>
            <w:vAlign w:val="center"/>
          </w:tcPr>
          <w:p>
            <w:pPr>
              <w:ind w:hanging="1"/>
              <w:jc w:val="right"/>
            </w:pPr>
            <w:r>
              <w:rPr>
                <w:rFonts w:hint="eastAsia"/>
                <w:b w:val="0"/>
                <w:i w:val="0"/>
                <w:strike w:val="0"/>
                <w:u w:val="none"/>
              </w:rPr>
              <w:t>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24湔江01</w:t>
            </w:r>
          </w:p>
        </w:tc>
        <w:tc>
          <w:tcPr>
            <w:tcW w:w="2693" w:type="dxa"/>
            <w:shd w:val="clear" w:color="auto" w:fill="auto"/>
            <w:vAlign w:val="center"/>
          </w:tcPr>
          <w:p>
            <w:pPr>
              <w:ind w:hanging="1"/>
              <w:jc w:val="right"/>
            </w:pPr>
            <w:r>
              <w:rPr>
                <w:b w:val="0"/>
                <w:i w:val="0"/>
                <w:strike w:val="0"/>
                <w:u w:val="none"/>
              </w:rPr>
              <w:t>12,138,345.21</w:t>
            </w:r>
          </w:p>
        </w:tc>
        <w:tc>
          <w:tcPr>
            <w:tcW w:w="2431" w:type="dxa"/>
            <w:shd w:val="clear" w:color="auto" w:fill="auto"/>
            <w:vAlign w:val="center"/>
          </w:tcPr>
          <w:p>
            <w:pPr>
              <w:ind w:hanging="1"/>
              <w:jc w:val="right"/>
            </w:pPr>
            <w:r>
              <w:rPr>
                <w:rFonts w:hint="eastAsia"/>
                <w:b w:val="0"/>
                <w:i w:val="0"/>
                <w:strike w:val="0"/>
                <w:u w:val="none"/>
              </w:rPr>
              <w:t>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24江苏银行CD189</w:t>
            </w:r>
          </w:p>
        </w:tc>
        <w:tc>
          <w:tcPr>
            <w:tcW w:w="2693" w:type="dxa"/>
            <w:shd w:val="clear" w:color="auto" w:fill="auto"/>
            <w:vAlign w:val="center"/>
          </w:tcPr>
          <w:p>
            <w:pPr>
              <w:ind w:hanging="1"/>
              <w:jc w:val="right"/>
            </w:pPr>
            <w:r>
              <w:rPr>
                <w:b w:val="0"/>
                <w:i w:val="0"/>
                <w:strike w:val="0"/>
                <w:u w:val="none"/>
              </w:rPr>
              <w:t>11,968,325.00</w:t>
            </w:r>
          </w:p>
        </w:tc>
        <w:tc>
          <w:tcPr>
            <w:tcW w:w="2431" w:type="dxa"/>
            <w:shd w:val="clear" w:color="auto" w:fill="auto"/>
            <w:vAlign w:val="center"/>
          </w:tcPr>
          <w:p>
            <w:pPr>
              <w:ind w:hanging="1"/>
              <w:jc w:val="right"/>
            </w:pPr>
            <w:r>
              <w:rPr>
                <w:rFonts w:hint="eastAsia"/>
                <w:b w:val="0"/>
                <w:i w:val="0"/>
                <w:strike w:val="0"/>
                <w:u w:val="none"/>
              </w:rPr>
              <w:t>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21绵投02</w:t>
            </w:r>
          </w:p>
        </w:tc>
        <w:tc>
          <w:tcPr>
            <w:tcW w:w="2693" w:type="dxa"/>
            <w:shd w:val="clear" w:color="auto" w:fill="auto"/>
            <w:vAlign w:val="center"/>
          </w:tcPr>
          <w:p>
            <w:pPr>
              <w:ind w:hanging="1"/>
              <w:jc w:val="right"/>
            </w:pPr>
            <w:r>
              <w:rPr>
                <w:b w:val="0"/>
                <w:i w:val="0"/>
                <w:strike w:val="0"/>
                <w:u w:val="none"/>
              </w:rPr>
              <w:t>11,321,230.14</w:t>
            </w:r>
          </w:p>
        </w:tc>
        <w:tc>
          <w:tcPr>
            <w:tcW w:w="2431" w:type="dxa"/>
            <w:shd w:val="clear" w:color="auto" w:fill="auto"/>
            <w:vAlign w:val="center"/>
          </w:tcPr>
          <w:p>
            <w:pPr>
              <w:ind w:hanging="1"/>
              <w:jc w:val="right"/>
            </w:pPr>
            <w:r>
              <w:rPr>
                <w:rFonts w:hint="eastAsia"/>
                <w:b w:val="0"/>
                <w:i w:val="0"/>
                <w:strike w:val="0"/>
                <w:u w:val="none"/>
              </w:rPr>
              <w:t>3.14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w:t>
      </w:r>
      <w:bookmarkStart w:id="5" w:name="_GoBack"/>
      <w:bookmarkEnd w:id="5"/>
      <w:r>
        <w:rPr>
          <w:rFonts w:ascii="宋体" w:hAnsi="宋体"/>
          <w:sz w:val="28"/>
          <w:szCs w:val="28"/>
        </w:rPr>
        <w:t>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5DE32BC3"/>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2025-07-10T06:54:37Z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