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四川银行定开系列1个月2号净值型理财产品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四川银行定开系列1个月2号净值型理财产品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303,417,988.00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四川银行-四川银行定开系列1个月2号净值型理财产品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128912158810741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lang w:val="en-US" w:eastAsia="zh-CN"/>
              </w:rPr>
              <w:t>招商银行</w:t>
            </w:r>
            <w:r>
              <w:rPr>
                <w:rFonts w:hint="eastAsia" w:ascii="宋体" w:hAnsi="宋体"/>
              </w:rPr>
              <w:t>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7.55</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2,521,862.15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2,815,911.40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303,417,988.00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rPr>
                <w:rFonts w:hint="default" w:eastAsia="宋体"/>
                <w:lang w:val="en-US" w:eastAsia="zh-CN"/>
              </w:rPr>
            </w:pPr>
            <w:r>
              <w:rPr>
                <w:b w:val="0"/>
                <w:i w:val="0"/>
                <w:strike w:val="0"/>
                <w:u w:val="none"/>
              </w:rPr>
              <w:t>1.00</w:t>
            </w:r>
            <w:r>
              <w:rPr>
                <w:rFonts w:hint="eastAsia"/>
                <w:b w:val="0"/>
                <w:i w:val="0"/>
                <w:strike w:val="0"/>
                <w:u w:val="none"/>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1.0755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303,417,988.00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1.0755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bookmarkStart w:id="5" w:name="_GoBack"/>
      <w:bookmarkEnd w:id="5"/>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177,343,668.30</w:t>
            </w:r>
          </w:p>
        </w:tc>
        <w:tc>
          <w:tcPr>
            <w:tcW w:w="1749" w:type="dxa"/>
            <w:shd w:val="clear" w:color="auto" w:fill="auto"/>
            <w:vAlign w:val="center"/>
          </w:tcPr>
          <w:p>
            <w:pPr>
              <w:jc w:val="right"/>
            </w:pPr>
            <w:r>
              <w:t>57.89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177,343,668.30</w:t>
            </w:r>
          </w:p>
        </w:tc>
        <w:tc>
          <w:tcPr>
            <w:tcW w:w="1749" w:type="dxa"/>
            <w:shd w:val="clear" w:color="auto" w:fill="auto"/>
            <w:vAlign w:val="center"/>
          </w:tcPr>
          <w:p>
            <w:pPr>
              <w:jc w:val="right"/>
            </w:pPr>
            <w:r>
              <w:t>57.89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88,026,957.78</w:t>
            </w:r>
          </w:p>
        </w:tc>
        <w:tc>
          <w:tcPr>
            <w:tcW w:w="1749" w:type="dxa"/>
            <w:shd w:val="clear" w:color="auto" w:fill="auto"/>
            <w:vAlign w:val="center"/>
          </w:tcPr>
          <w:p>
            <w:pPr>
              <w:jc w:val="right"/>
            </w:pPr>
            <w:r>
              <w:t>28.74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40,928,180.94</w:t>
            </w:r>
          </w:p>
        </w:tc>
        <w:tc>
          <w:tcPr>
            <w:tcW w:w="1749" w:type="dxa"/>
            <w:shd w:val="clear" w:color="auto" w:fill="auto"/>
            <w:vAlign w:val="center"/>
          </w:tcPr>
          <w:p>
            <w:pPr>
              <w:jc w:val="right"/>
            </w:pPr>
            <w:r>
              <w:t>13.36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30,324.69</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306,329,131.71</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88,026,957.78</w:t>
            </w:r>
          </w:p>
        </w:tc>
        <w:tc>
          <w:tcPr>
            <w:tcW w:w="2431" w:type="dxa"/>
            <w:shd w:val="clear" w:color="auto" w:fill="auto"/>
            <w:vAlign w:val="center"/>
          </w:tcPr>
          <w:p>
            <w:pPr>
              <w:jc w:val="right"/>
            </w:pPr>
            <w:bookmarkStart w:id="3" w:name="OLE_LINK5"/>
            <w:bookmarkEnd w:id="3"/>
            <w:bookmarkStart w:id="4" w:name="OLE_LINK6"/>
            <w:bookmarkEnd w:id="4"/>
            <w:r>
              <w:rPr>
                <w:rFonts w:hint="eastAsia"/>
              </w:rPr>
              <w:t>29.01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25贵阳银行CD065</w:t>
            </w:r>
          </w:p>
        </w:tc>
        <w:tc>
          <w:tcPr>
            <w:tcW w:w="2693" w:type="dxa"/>
            <w:shd w:val="clear" w:color="auto" w:fill="auto"/>
            <w:vAlign w:val="center"/>
          </w:tcPr>
          <w:p>
            <w:pPr>
              <w:ind w:hanging="1"/>
              <w:jc w:val="right"/>
            </w:pPr>
            <w:r>
              <w:rPr>
                <w:b w:val="0"/>
                <w:i w:val="0"/>
                <w:strike w:val="0"/>
                <w:u w:val="none"/>
              </w:rPr>
              <w:t>19,694,640.88</w:t>
            </w:r>
          </w:p>
        </w:tc>
        <w:tc>
          <w:tcPr>
            <w:tcW w:w="2431" w:type="dxa"/>
            <w:shd w:val="clear" w:color="auto" w:fill="auto"/>
            <w:vAlign w:val="center"/>
          </w:tcPr>
          <w:p>
            <w:pPr>
              <w:ind w:hanging="1"/>
              <w:jc w:val="right"/>
            </w:pPr>
            <w:r>
              <w:rPr>
                <w:rFonts w:hint="eastAsia"/>
                <w:b w:val="0"/>
                <w:i w:val="0"/>
                <w:strike w:val="0"/>
                <w:u w:val="none"/>
              </w:rPr>
              <w:t>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23泸发01</w:t>
            </w:r>
          </w:p>
        </w:tc>
        <w:tc>
          <w:tcPr>
            <w:tcW w:w="2693" w:type="dxa"/>
            <w:shd w:val="clear" w:color="auto" w:fill="auto"/>
            <w:vAlign w:val="center"/>
          </w:tcPr>
          <w:p>
            <w:pPr>
              <w:ind w:hanging="1"/>
              <w:jc w:val="right"/>
            </w:pPr>
            <w:r>
              <w:rPr>
                <w:b w:val="0"/>
                <w:i w:val="0"/>
                <w:strike w:val="0"/>
                <w:u w:val="none"/>
              </w:rPr>
              <w:t>14,841,898.63</w:t>
            </w:r>
          </w:p>
        </w:tc>
        <w:tc>
          <w:tcPr>
            <w:tcW w:w="2431" w:type="dxa"/>
            <w:shd w:val="clear" w:color="auto" w:fill="auto"/>
            <w:vAlign w:val="center"/>
          </w:tcPr>
          <w:p>
            <w:pPr>
              <w:ind w:hanging="1"/>
              <w:jc w:val="right"/>
            </w:pPr>
            <w:r>
              <w:rPr>
                <w:rFonts w:hint="eastAsia"/>
                <w:b w:val="0"/>
                <w:i w:val="0"/>
                <w:strike w:val="0"/>
                <w:u w:val="none"/>
              </w:rPr>
              <w:t>4.89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11,525,031.51</w:t>
            </w:r>
          </w:p>
        </w:tc>
        <w:tc>
          <w:tcPr>
            <w:tcW w:w="2431" w:type="dxa"/>
            <w:shd w:val="clear" w:color="auto" w:fill="auto"/>
            <w:vAlign w:val="center"/>
          </w:tcPr>
          <w:p>
            <w:pPr>
              <w:ind w:hanging="1"/>
              <w:jc w:val="right"/>
            </w:pPr>
            <w:r>
              <w:rPr>
                <w:rFonts w:hint="eastAsia"/>
                <w:b w:val="0"/>
                <w:i w:val="0"/>
                <w:strike w:val="0"/>
                <w:u w:val="none"/>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pPr>
              <w:ind w:hanging="1"/>
              <w:jc w:val="right"/>
            </w:pPr>
            <w:r>
              <w:rPr>
                <w:b w:val="0"/>
                <w:i w:val="0"/>
                <w:strike w:val="0"/>
                <w:u w:val="none"/>
              </w:rPr>
              <w:t>10,433,739.73</w:t>
            </w:r>
          </w:p>
        </w:tc>
        <w:tc>
          <w:tcPr>
            <w:tcW w:w="2431" w:type="dxa"/>
            <w:shd w:val="clear" w:color="auto" w:fill="auto"/>
            <w:vAlign w:val="center"/>
          </w:tcPr>
          <w:p>
            <w:pPr>
              <w:ind w:hanging="1"/>
              <w:jc w:val="right"/>
            </w:pPr>
            <w:r>
              <w:rPr>
                <w:rFonts w:hint="eastAsia"/>
                <w:b w:val="0"/>
                <w:i w:val="0"/>
                <w:strike w:val="0"/>
                <w:u w:val="none"/>
              </w:rPr>
              <w:t>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24新津城乡MTN001A</w:t>
            </w:r>
          </w:p>
        </w:tc>
        <w:tc>
          <w:tcPr>
            <w:tcW w:w="2693" w:type="dxa"/>
            <w:shd w:val="clear" w:color="auto" w:fill="auto"/>
            <w:vAlign w:val="center"/>
          </w:tcPr>
          <w:p>
            <w:pPr>
              <w:ind w:hanging="1"/>
              <w:jc w:val="right"/>
            </w:pPr>
            <w:r>
              <w:rPr>
                <w:b w:val="0"/>
                <w:i w:val="0"/>
                <w:strike w:val="0"/>
                <w:u w:val="none"/>
              </w:rPr>
              <w:t>10,297,879.45</w:t>
            </w:r>
          </w:p>
        </w:tc>
        <w:tc>
          <w:tcPr>
            <w:tcW w:w="2431" w:type="dxa"/>
            <w:shd w:val="clear" w:color="auto" w:fill="auto"/>
            <w:vAlign w:val="center"/>
          </w:tcPr>
          <w:p>
            <w:pPr>
              <w:ind w:hanging="1"/>
              <w:jc w:val="right"/>
            </w:pPr>
            <w:r>
              <w:rPr>
                <w:rFonts w:hint="eastAsia"/>
                <w:b w:val="0"/>
                <w:i w:val="0"/>
                <w:strike w:val="0"/>
                <w:u w:val="none"/>
              </w:rPr>
              <w:t>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24成都开投PPN002</w:t>
            </w:r>
          </w:p>
        </w:tc>
        <w:tc>
          <w:tcPr>
            <w:tcW w:w="2693" w:type="dxa"/>
            <w:shd w:val="clear" w:color="auto" w:fill="auto"/>
            <w:vAlign w:val="center"/>
          </w:tcPr>
          <w:p>
            <w:pPr>
              <w:ind w:hanging="1"/>
              <w:jc w:val="right"/>
            </w:pPr>
            <w:r>
              <w:rPr>
                <w:b w:val="0"/>
                <w:i w:val="0"/>
                <w:strike w:val="0"/>
                <w:u w:val="none"/>
              </w:rPr>
              <w:t>10,250,767.12</w:t>
            </w:r>
          </w:p>
        </w:tc>
        <w:tc>
          <w:tcPr>
            <w:tcW w:w="2431" w:type="dxa"/>
            <w:shd w:val="clear" w:color="auto" w:fill="auto"/>
            <w:vAlign w:val="center"/>
          </w:tcPr>
          <w:p>
            <w:pPr>
              <w:ind w:hanging="1"/>
              <w:jc w:val="right"/>
            </w:pPr>
            <w:r>
              <w:rPr>
                <w:rFonts w:hint="eastAsia"/>
                <w:b w:val="0"/>
                <w:i w:val="0"/>
                <w:strike w:val="0"/>
                <w:u w:val="none"/>
              </w:rPr>
              <w:t>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24东坡01</w:t>
            </w:r>
          </w:p>
        </w:tc>
        <w:tc>
          <w:tcPr>
            <w:tcW w:w="2693" w:type="dxa"/>
            <w:shd w:val="clear" w:color="auto" w:fill="auto"/>
            <w:vAlign w:val="center"/>
          </w:tcPr>
          <w:p>
            <w:pPr>
              <w:ind w:hanging="1"/>
              <w:jc w:val="right"/>
            </w:pPr>
            <w:r>
              <w:rPr>
                <w:b w:val="0"/>
                <w:i w:val="0"/>
                <w:strike w:val="0"/>
                <w:u w:val="none"/>
              </w:rPr>
              <w:t>10,112,219.18</w:t>
            </w:r>
          </w:p>
        </w:tc>
        <w:tc>
          <w:tcPr>
            <w:tcW w:w="2431" w:type="dxa"/>
            <w:shd w:val="clear" w:color="auto" w:fill="auto"/>
            <w:vAlign w:val="center"/>
          </w:tcPr>
          <w:p>
            <w:pPr>
              <w:ind w:hanging="1"/>
              <w:jc w:val="right"/>
            </w:pPr>
            <w:r>
              <w:rPr>
                <w:rFonts w:hint="eastAsia"/>
                <w:b w:val="0"/>
                <w:i w:val="0"/>
                <w:strike w:val="0"/>
                <w:u w:val="none"/>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25齐鲁银行CD019</w:t>
            </w:r>
          </w:p>
        </w:tc>
        <w:tc>
          <w:tcPr>
            <w:tcW w:w="2693" w:type="dxa"/>
            <w:shd w:val="clear" w:color="auto" w:fill="auto"/>
            <w:vAlign w:val="center"/>
          </w:tcPr>
          <w:p>
            <w:pPr>
              <w:ind w:hanging="1"/>
              <w:jc w:val="right"/>
            </w:pPr>
            <w:r>
              <w:rPr>
                <w:b w:val="0"/>
                <w:i w:val="0"/>
                <w:strike w:val="0"/>
                <w:u w:val="none"/>
              </w:rPr>
              <w:t>9,974,694.42</w:t>
            </w:r>
          </w:p>
        </w:tc>
        <w:tc>
          <w:tcPr>
            <w:tcW w:w="2431" w:type="dxa"/>
            <w:shd w:val="clear" w:color="auto" w:fill="auto"/>
            <w:vAlign w:val="center"/>
          </w:tcPr>
          <w:p>
            <w:pPr>
              <w:ind w:hanging="1"/>
              <w:jc w:val="right"/>
            </w:pPr>
            <w:r>
              <w:rPr>
                <w:rFonts w:hint="eastAsia"/>
                <w:b w:val="0"/>
                <w:i w:val="0"/>
                <w:strike w:val="0"/>
                <w:u w:val="none"/>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24重庆三峡银行CD075</w:t>
            </w:r>
          </w:p>
        </w:tc>
        <w:tc>
          <w:tcPr>
            <w:tcW w:w="2693" w:type="dxa"/>
            <w:shd w:val="clear" w:color="auto" w:fill="auto"/>
            <w:vAlign w:val="center"/>
          </w:tcPr>
          <w:p>
            <w:pPr>
              <w:ind w:hanging="1"/>
              <w:jc w:val="right"/>
            </w:pPr>
            <w:r>
              <w:rPr>
                <w:b w:val="0"/>
                <w:i w:val="0"/>
                <w:strike w:val="0"/>
                <w:u w:val="none"/>
              </w:rPr>
              <w:t>9,942,366.58</w:t>
            </w:r>
          </w:p>
        </w:tc>
        <w:tc>
          <w:tcPr>
            <w:tcW w:w="2431" w:type="dxa"/>
            <w:shd w:val="clear" w:color="auto" w:fill="auto"/>
            <w:vAlign w:val="center"/>
          </w:tcPr>
          <w:p>
            <w:pPr>
              <w:ind w:hanging="1"/>
              <w:jc w:val="right"/>
            </w:pPr>
            <w:r>
              <w:rPr>
                <w:rFonts w:hint="eastAsia"/>
                <w:b w:val="0"/>
                <w:i w:val="0"/>
                <w:strike w:val="0"/>
                <w:u w:val="none"/>
              </w:rPr>
              <w:t>3.28</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FCE510E"/>
    <w:rsid w:val="30D863E3"/>
    <w:rsid w:val="35706056"/>
    <w:rsid w:val="35844C1F"/>
    <w:rsid w:val="378A66D0"/>
    <w:rsid w:val="3D007F24"/>
    <w:rsid w:val="46050EA9"/>
    <w:rsid w:val="49315DAC"/>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183</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2025-07-10T07:22:04Z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