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方正小标宋简体"/>
          <w:sz w:val="32"/>
          <w:szCs w:val="32"/>
        </w:rPr>
        <w:t xml:space="preserve">：           </w:t>
      </w:r>
    </w:p>
    <w:p>
      <w:pPr>
        <w:pStyle w:val="5"/>
        <w:ind w:firstLine="360" w:firstLineChars="100"/>
        <w:jc w:val="center"/>
        <w:rPr>
          <w:rFonts w:hint="eastAsia" w:ascii="Times New Roman" w:hAnsi="Times New Roman" w:eastAsia="方正小标宋简体"/>
          <w:sz w:val="36"/>
          <w:szCs w:val="36"/>
        </w:rPr>
      </w:pPr>
    </w:p>
    <w:p>
      <w:pPr>
        <w:pStyle w:val="5"/>
        <w:ind w:firstLine="360" w:firstLineChars="100"/>
        <w:jc w:val="center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四川银行2023年积分活动规则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列表</w:t>
      </w:r>
    </w:p>
    <w:tbl>
      <w:tblPr>
        <w:tblStyle w:val="8"/>
        <w:tblW w:w="100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288"/>
        <w:gridCol w:w="6273"/>
        <w:gridCol w:w="1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积分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规则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活动期间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消费类</w:t>
            </w: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积分</w:t>
            </w: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(二类户)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1.通过我行二类户进行快捷交易（微信、支付宝、美团、滴滴、京东、云闪付），交易每10元积5分，单笔100分封顶，单个客户单日1000分封顶。</w:t>
            </w:r>
          </w:p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2.本活动采用总预算控制名额，若单项预算使用完毕则活动下线。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活动上线日至2023年12月31日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消费类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积分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社保卡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  <w:t>1.活动期间内，使用符合活动规则的社保卡，绑定微信、支付宝、美团、滴滴、京东、云闪付交易渠道，并进行快捷支付交易。交易金额每1元积10积分；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  <w:t>2.活动要求：在活动期间第一次激活我行社保卡金融功能的客户；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  <w:t>3.积分上限规则：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  <w:t>活动上线之日起-2023年3月31日期间：单笔交易5000积分封顶，单人100万积分封顶；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  <w:t>2023年4月1日-2023年9月30日：单笔交易5000积分封顶，单人每月10万积分封顶。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  <w:t>4.积分退回规则：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  <w:t>客户单笔消费全部退款，则退回单笔享受的全部积分；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  <w:t>若客户单笔消费进行部分退款，则重新计算该笔消费金额应享受的积分数量，退回之间的差额。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活动上线日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至2023年9月30日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消费类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积分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(借记卡)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持我行借记卡进行快捷交易（微信、支付宝、美团、滴滴、京东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云闪付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），交易每10元积1分，单笔100分封顶，单个客户单日1000分封顶。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活动上线日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至2023年12月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消费类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积分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(公务卡)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1.规则对象：公务卡普卡、金卡、白金卡客户；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2.积分标准：公务卡客户在规则有效期内，通过POS端的线下持卡消费交易，通过云闪付、微信的线上无卡消费交易，每1元积10分。该规则的公务卡普卡、金卡、白金卡单月积分赠送上限分别为5万、8万、10万积分。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业务口径：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公务卡客户在规则有效期内，通过POS端的线下持卡消费交易，通过云闪付、微信的线上无卡消费交易，并符合以下规则：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（1）POS终端持卡消费的不积分以积分规则中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四川银行境内受理银联特约商户不积分商户类别码清单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”（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附表2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为准。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2）贷记卡线下交易送积分场景：POS和二维码商户的消费、预授权完成；贷记卡线下退积分场景：POS和二维码商户交易撤销、退货、预授权取消。贷记卡快捷支付送积分：消费交易；贷记卡快捷支付退积分：退货交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（3）当月线下交易和快捷交易累计积分、累计封顶。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（4）按照卡片维度积分和封顶。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活动上线日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至2023年12月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签约类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积分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1.首次签约手机银行赠送1000积分；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2.首次签约微信银行赠送500积分；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3.首次开通手机号码支付赠送500积分；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4.首次签约快捷支付赠送500积分（支付宝、微信、京东、云闪付、美团、滴滴只赠送1次）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活动上线日</w:t>
            </w:r>
            <w:r>
              <w:rPr>
                <w:rFonts w:hint="default" w:ascii="Times New Roman" w:hAnsi="Times New Roman" w:cs="Times New Roman" w:eastAsiaTheme="minorEastAsia"/>
              </w:rPr>
              <w:t>至2023年12月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医保电子凭证激活积分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通过四川银行手机银行APP申请并激活医保电子凭证的我行客户，获取2800积分。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活动上线日至2023年12月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Theme="minorEastAsia"/>
                <w:kern w:val="0"/>
                <w:lang w:bidi="ar"/>
              </w:rPr>
              <w:t>电子账户活客积分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/>
                <w:kern w:val="0"/>
                <w:lang w:bidi="ar"/>
              </w:rPr>
            </w:pPr>
            <w:r>
              <w:rPr>
                <w:rFonts w:ascii="Times New Roman" w:hAnsi="Times New Roman" w:eastAsiaTheme="minorEastAsia"/>
                <w:kern w:val="0"/>
                <w:lang w:bidi="ar"/>
              </w:rPr>
              <w:t>1.电子账户客户首次注册并登录个人手机银行或微信银行，赠送25,000积分；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/>
                <w:kern w:val="0"/>
                <w:lang w:bidi="ar"/>
              </w:rPr>
            </w:pPr>
            <w:r>
              <w:rPr>
                <w:rFonts w:ascii="Times New Roman" w:hAnsi="Times New Roman" w:eastAsiaTheme="minorEastAsia"/>
                <w:kern w:val="0"/>
                <w:lang w:bidi="ar"/>
              </w:rPr>
              <w:t>2.限活动期间未领取外部渠道新客权益的客户；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/>
                <w:kern w:val="0"/>
                <w:lang w:bidi="ar"/>
              </w:rPr>
            </w:pPr>
            <w:r>
              <w:rPr>
                <w:rFonts w:ascii="Times New Roman" w:hAnsi="Times New Roman" w:eastAsiaTheme="minorEastAsia"/>
                <w:kern w:val="0"/>
                <w:lang w:bidi="ar"/>
              </w:rPr>
              <w:t>3.根据客户线上业务开户行归属。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Theme="minorEastAsia"/>
                <w:kern w:val="0"/>
                <w:lang w:bidi="ar"/>
              </w:rPr>
              <w:t>4.本活动采用总预算控制名额，若单项预算使用完毕则活动下线。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Theme="minorEastAsia"/>
                <w:kern w:val="0"/>
                <w:lang w:val="en-US" w:eastAsia="zh-CN" w:bidi="ar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Theme="minorEastAsia"/>
                <w:kern w:val="0"/>
                <w:lang w:val="en-US" w:eastAsia="zh-CN" w:bidi="ar"/>
              </w:rPr>
              <w:t>活动上线日</w:t>
            </w:r>
            <w:r>
              <w:rPr>
                <w:rFonts w:ascii="Times New Roman" w:hAnsi="Times New Roman" w:eastAsiaTheme="minorEastAsia"/>
                <w:kern w:val="0"/>
                <w:lang w:bidi="ar"/>
              </w:rPr>
              <w:t>至2023年12月</w:t>
            </w:r>
            <w:r>
              <w:rPr>
                <w:rFonts w:hint="eastAsia" w:ascii="Times New Roman" w:hAnsi="Times New Roman" w:eastAsiaTheme="minorEastAsia"/>
                <w:kern w:val="0"/>
                <w:lang w:bidi="ar"/>
              </w:rPr>
              <w:t>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首次理财风评积分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个人客户办理首次理财风评赠送5000积分每人。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活动上线日</w:t>
            </w:r>
            <w:r>
              <w:rPr>
                <w:rFonts w:hint="default" w:ascii="Times New Roman" w:hAnsi="Times New Roman" w:cs="Times New Roman" w:eastAsiaTheme="minorEastAsia"/>
              </w:rPr>
              <w:t>至2023年12月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拥军卡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积分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1.2023年8月期间，拥军尊崇卡活期账户资金按1000元/10积分/天规则积分，不足1000元部分不积分；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2.获得全国最美退役军人赠送30万积分；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3.获得全国模范退役军人赠送10万积分；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4.获得四川省模范退役军人赠送5万积分；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5.获得四川省优秀退役军人赠送1万积分；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6.以上规则均采用手工上账模式。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活动上线日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至2023年12月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金盾卡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积分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1.受到嘉奖的公安干警赠送5000积分；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2.记三等功的公安干警赠送1万积分；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3.记二等功的公安干警赠送2万积分；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4.记一等功的公安干警赠送5万积分；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5.授予全国公安系统二级英雄模范及以上称号的公安干警赠送100万积分；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6.2023年警察节当月期间，金盾卡活期账户资金按1000元/10分/天规则积分，不足1000元部分不积分；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7.以上规则均采用手工上账模式。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活动上线日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至2023年12月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天府粮仓蜀农一卡通积分</w:t>
            </w:r>
          </w:p>
        </w:tc>
        <w:tc>
          <w:tcPr>
            <w:tcW w:w="6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1.针对获得县级及以上表彰或先进的农村致富带头人、优秀农场主、专业大户、农业合作社等给予赠送100000积分；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2.丰收节当月期间持卡消费享双倍积分。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活动上线日至2023年12月31日</w:t>
            </w:r>
          </w:p>
        </w:tc>
      </w:tr>
    </w:tbl>
    <w:p/>
    <w:p>
      <w:pPr>
        <w:pStyle w:val="2"/>
        <w:spacing w:after="0"/>
        <w:ind w:left="0" w:leftChars="0"/>
        <w:textAlignment w:val="baseline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特别说明：</w:t>
      </w:r>
    </w:p>
    <w:p>
      <w:pPr>
        <w:pStyle w:val="2"/>
        <w:numPr>
          <w:ilvl w:val="0"/>
          <w:numId w:val="1"/>
        </w:numPr>
        <w:spacing w:after="0"/>
        <w:ind w:left="0" w:leftChars="0" w:firstLine="663" w:firstLineChars="300"/>
        <w:textAlignment w:val="baseline"/>
        <w:rPr>
          <w:rFonts w:ascii="Times New Roman" w:hAnsi="Times New Roman"/>
          <w:b/>
          <w:bCs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b/>
          <w:bCs/>
          <w:sz w:val="22"/>
          <w:szCs w:val="22"/>
        </w:rPr>
        <w:t>在法律许可的范围内，四川银行有权</w:t>
      </w:r>
      <w:r>
        <w:rPr>
          <w:rFonts w:hint="eastAsia" w:ascii="Times New Roman" w:hAnsi="Times New Roman"/>
          <w:b/>
          <w:bCs/>
          <w:kern w:val="0"/>
          <w:sz w:val="22"/>
          <w:szCs w:val="22"/>
          <w:lang w:bidi="ar"/>
        </w:rPr>
        <w:t>根据自身实际和业务发展情况</w:t>
      </w:r>
      <w:r>
        <w:rPr>
          <w:rFonts w:hint="eastAsia" w:ascii="Times New Roman" w:hAnsi="Times New Roman"/>
          <w:b/>
          <w:bCs/>
          <w:sz w:val="22"/>
          <w:szCs w:val="22"/>
        </w:rPr>
        <w:t>修订本</w:t>
      </w:r>
      <w:r>
        <w:rPr>
          <w:rFonts w:ascii="Times New Roman" w:hAnsi="Times New Roman"/>
          <w:b/>
          <w:bCs/>
          <w:sz w:val="22"/>
          <w:szCs w:val="22"/>
        </w:rPr>
        <w:t>积分活动</w:t>
      </w:r>
      <w:r>
        <w:rPr>
          <w:rFonts w:hint="eastAsia" w:ascii="Times New Roman" w:hAnsi="Times New Roman"/>
          <w:b/>
          <w:bCs/>
          <w:sz w:val="22"/>
          <w:szCs w:val="22"/>
        </w:rPr>
        <w:t>条款及细则（包括但不限于参加资格、具体规则及活动时间等）、暂停或取消本活动、并经以下一种或多种途径（如官方网站、微信银行、手机银行等）公告后生效。</w:t>
      </w:r>
    </w:p>
    <w:p>
      <w:pPr>
        <w:pStyle w:val="2"/>
        <w:numPr>
          <w:ilvl w:val="0"/>
          <w:numId w:val="1"/>
        </w:numPr>
        <w:spacing w:after="0"/>
        <w:ind w:left="0" w:leftChars="0" w:firstLine="663" w:firstLineChars="300"/>
        <w:textAlignment w:val="baseline"/>
        <w:rPr>
          <w:rFonts w:ascii="Times New Roman" w:hAnsi="Times New Roman"/>
          <w:b/>
          <w:bCs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b/>
          <w:bCs/>
          <w:kern w:val="0"/>
          <w:sz w:val="22"/>
          <w:szCs w:val="22"/>
          <w:lang w:bidi="ar"/>
        </w:rPr>
        <w:t>在不违反法律法规及监管规定的情况下，参加本活动的客户即视为了解并同意遵守《四川银行个人客户积分业务规则公告》相关条款及本活动具体条款与细则等。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640"/>
        <w:jc w:val="right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640"/>
        <w:jc w:val="right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640"/>
        <w:jc w:val="right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pStyle w:val="5"/>
        <w:rPr>
          <w:rFonts w:hint="eastAsia" w:ascii="Times New Roman" w:hAnsi="Times New Roman" w:eastAsia="方正小标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</w:p>
    <w:sectPr>
      <w:type w:val="continuous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C2A61"/>
    <w:multiLevelType w:val="singleLevel"/>
    <w:tmpl w:val="0DFC2A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F6932"/>
    <w:rsid w:val="0D1965D3"/>
    <w:rsid w:val="0DE06381"/>
    <w:rsid w:val="1399283F"/>
    <w:rsid w:val="1533612C"/>
    <w:rsid w:val="1AC17E43"/>
    <w:rsid w:val="1C6F2AF8"/>
    <w:rsid w:val="20B63285"/>
    <w:rsid w:val="265979F7"/>
    <w:rsid w:val="27237B3E"/>
    <w:rsid w:val="28534852"/>
    <w:rsid w:val="28FB14E0"/>
    <w:rsid w:val="30712BCF"/>
    <w:rsid w:val="327135C8"/>
    <w:rsid w:val="33881029"/>
    <w:rsid w:val="37485C0A"/>
    <w:rsid w:val="37E57E3C"/>
    <w:rsid w:val="3BE36E06"/>
    <w:rsid w:val="3BE97354"/>
    <w:rsid w:val="3BF40A4E"/>
    <w:rsid w:val="400D4AE2"/>
    <w:rsid w:val="41767D73"/>
    <w:rsid w:val="461A19AA"/>
    <w:rsid w:val="4FDE00C9"/>
    <w:rsid w:val="51220F1C"/>
    <w:rsid w:val="516E4696"/>
    <w:rsid w:val="53E030A9"/>
    <w:rsid w:val="548D07BD"/>
    <w:rsid w:val="557E2047"/>
    <w:rsid w:val="55842175"/>
    <w:rsid w:val="569B3EAF"/>
    <w:rsid w:val="58F20E69"/>
    <w:rsid w:val="60551A5D"/>
    <w:rsid w:val="62520A63"/>
    <w:rsid w:val="651B6BFA"/>
    <w:rsid w:val="67F90865"/>
    <w:rsid w:val="687121FB"/>
    <w:rsid w:val="69045135"/>
    <w:rsid w:val="6962578A"/>
    <w:rsid w:val="6EE82ABF"/>
    <w:rsid w:val="708E466A"/>
    <w:rsid w:val="717541F5"/>
    <w:rsid w:val="733E2B83"/>
    <w:rsid w:val="76AC333C"/>
    <w:rsid w:val="77B00D7C"/>
    <w:rsid w:val="7C0B4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99"/>
    <w:pPr>
      <w:spacing w:line="500" w:lineRule="exact"/>
    </w:pPr>
    <w:rPr>
      <w:rFonts w:ascii="??" w:hAnsi="??" w:eastAsia="Times New Roman"/>
      <w:szCs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254</Characters>
  <Lines>0</Lines>
  <Paragraphs>0</Paragraphs>
  <TotalTime>4</TotalTime>
  <ScaleCrop>false</ScaleCrop>
  <LinksUpToDate>false</LinksUpToDate>
  <CharactersWithSpaces>261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2023-03-23T12:52:00Z</dcterms:created>
  <dc:creator>lenovo</dc:creator>
  <cp:lastModifiedBy>hexiaowen</cp:lastModifiedBy>
  <dcterms:modified xsi:type="dcterms:W3CDTF">2023-11-21T01:57:44Z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D11293D9CDF44AD8BDA7ADB22645B1F8</vt:lpwstr>
  </property>
</Properties>
</file>